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1701"/>
        <w:gridCol w:w="6237"/>
        <w:gridCol w:w="1418"/>
      </w:tblGrid>
      <w:tr w:rsidR="00195062" w14:paraId="4FFFD745" w14:textId="77777777">
        <w:trPr>
          <w:trHeight w:val="1000"/>
        </w:trPr>
        <w:tc>
          <w:tcPr>
            <w:tcW w:w="1701" w:type="dxa"/>
          </w:tcPr>
          <w:p w14:paraId="4FFFD742" w14:textId="77777777" w:rsidR="00195062" w:rsidRDefault="00195062">
            <w:bookmarkStart w:id="0" w:name="_GoBack"/>
            <w:bookmarkEnd w:id="0"/>
          </w:p>
        </w:tc>
        <w:tc>
          <w:tcPr>
            <w:tcW w:w="6237" w:type="dxa"/>
          </w:tcPr>
          <w:p w14:paraId="4FFFD743" w14:textId="77777777" w:rsidR="00195062" w:rsidRPr="00BA64EA" w:rsidRDefault="00195062">
            <w:pPr>
              <w:pStyle w:val="Title"/>
              <w:jc w:val="right"/>
              <w:rPr>
                <w:sz w:val="40"/>
              </w:rPr>
            </w:pPr>
          </w:p>
        </w:tc>
        <w:tc>
          <w:tcPr>
            <w:tcW w:w="1418" w:type="dxa"/>
          </w:tcPr>
          <w:p w14:paraId="4FFFD744" w14:textId="77777777" w:rsidR="00195062" w:rsidRDefault="00195062"/>
        </w:tc>
      </w:tr>
      <w:tr w:rsidR="00195062" w:rsidRPr="00D77860" w14:paraId="4FFFD74C" w14:textId="77777777">
        <w:trPr>
          <w:trHeight w:val="2835"/>
        </w:trPr>
        <w:tc>
          <w:tcPr>
            <w:tcW w:w="1701" w:type="dxa"/>
          </w:tcPr>
          <w:p w14:paraId="4FFFD746" w14:textId="77777777" w:rsidR="00195062" w:rsidRPr="00D77860" w:rsidRDefault="00195062">
            <w:pPr>
              <w:rPr>
                <w:rFonts w:ascii="Arial" w:hAnsi="Arial" w:cs="Arial"/>
              </w:rPr>
            </w:pPr>
          </w:p>
        </w:tc>
        <w:tc>
          <w:tcPr>
            <w:tcW w:w="6237" w:type="dxa"/>
          </w:tcPr>
          <w:p w14:paraId="4FFFD747" w14:textId="3CB837D5" w:rsidR="00195062" w:rsidRPr="00D77860" w:rsidRDefault="007F76A5">
            <w:pPr>
              <w:pStyle w:val="Title"/>
              <w:rPr>
                <w:rFonts w:ascii="Arial" w:hAnsi="Arial" w:cs="Arial"/>
                <w:b w:val="0"/>
                <w:sz w:val="40"/>
              </w:rPr>
            </w:pPr>
            <w:bookmarkStart w:id="1" w:name="Start"/>
            <w:bookmarkEnd w:id="1"/>
            <w:r>
              <w:rPr>
                <w:rFonts w:ascii="Arial" w:hAnsi="Arial" w:cs="Arial"/>
                <w:b w:val="0"/>
                <w:sz w:val="40"/>
              </w:rPr>
              <w:t>Dell UK Employee Financial Security Pension Plan</w:t>
            </w:r>
          </w:p>
          <w:p w14:paraId="4FFFD748" w14:textId="77777777" w:rsidR="00195062" w:rsidRPr="00D77860" w:rsidRDefault="00195062">
            <w:pPr>
              <w:pStyle w:val="Title"/>
              <w:rPr>
                <w:rFonts w:ascii="Arial" w:hAnsi="Arial" w:cs="Arial"/>
                <w:b w:val="0"/>
                <w:sz w:val="32"/>
              </w:rPr>
            </w:pPr>
            <w:r w:rsidRPr="00D77860">
              <w:rPr>
                <w:rFonts w:ascii="Arial" w:hAnsi="Arial" w:cs="Arial"/>
                <w:b w:val="0"/>
                <w:sz w:val="32"/>
              </w:rPr>
              <w:t>Statement of Investment Principles</w:t>
            </w:r>
          </w:p>
          <w:p w14:paraId="4FFFD749" w14:textId="77777777" w:rsidR="00195062" w:rsidRPr="00D77860" w:rsidRDefault="00195062">
            <w:pPr>
              <w:pStyle w:val="Subtitle"/>
              <w:rPr>
                <w:rFonts w:ascii="Arial" w:hAnsi="Arial" w:cs="Arial"/>
                <w:i/>
              </w:rPr>
            </w:pPr>
          </w:p>
          <w:p w14:paraId="4FFFD74A" w14:textId="77777777" w:rsidR="00195062" w:rsidRPr="00D77860" w:rsidRDefault="00195062">
            <w:pPr>
              <w:pStyle w:val="Title"/>
              <w:rPr>
                <w:rFonts w:ascii="Arial" w:hAnsi="Arial" w:cs="Arial"/>
              </w:rPr>
            </w:pPr>
          </w:p>
        </w:tc>
        <w:tc>
          <w:tcPr>
            <w:tcW w:w="1418" w:type="dxa"/>
            <w:tcBorders>
              <w:left w:val="nil"/>
            </w:tcBorders>
          </w:tcPr>
          <w:p w14:paraId="4FFFD74B" w14:textId="77777777" w:rsidR="00195062" w:rsidRPr="00D77860" w:rsidRDefault="00195062">
            <w:pPr>
              <w:rPr>
                <w:rFonts w:ascii="Arial" w:hAnsi="Arial" w:cs="Arial"/>
                <w:highlight w:val="yellow"/>
              </w:rPr>
            </w:pPr>
          </w:p>
        </w:tc>
      </w:tr>
      <w:tr w:rsidR="00195062" w:rsidRPr="00D77860" w14:paraId="4FFFD750" w14:textId="77777777">
        <w:trPr>
          <w:trHeight w:val="567"/>
        </w:trPr>
        <w:tc>
          <w:tcPr>
            <w:tcW w:w="1701" w:type="dxa"/>
          </w:tcPr>
          <w:p w14:paraId="4FFFD74D" w14:textId="77777777" w:rsidR="00195062" w:rsidRPr="00D77860" w:rsidRDefault="00195062">
            <w:pPr>
              <w:rPr>
                <w:rFonts w:ascii="Arial" w:hAnsi="Arial" w:cs="Arial"/>
                <w:highlight w:val="yellow"/>
              </w:rPr>
            </w:pPr>
          </w:p>
        </w:tc>
        <w:tc>
          <w:tcPr>
            <w:tcW w:w="6237" w:type="dxa"/>
          </w:tcPr>
          <w:p w14:paraId="4FFFD74E" w14:textId="77777777" w:rsidR="00195062" w:rsidRPr="00D77860" w:rsidRDefault="00195062">
            <w:pPr>
              <w:pStyle w:val="Title"/>
              <w:rPr>
                <w:rFonts w:ascii="Arial" w:hAnsi="Arial" w:cs="Arial"/>
                <w:highlight w:val="yellow"/>
              </w:rPr>
            </w:pPr>
          </w:p>
        </w:tc>
        <w:tc>
          <w:tcPr>
            <w:tcW w:w="1418" w:type="dxa"/>
          </w:tcPr>
          <w:p w14:paraId="4FFFD74F" w14:textId="77777777" w:rsidR="00195062" w:rsidRPr="00D77860" w:rsidRDefault="00195062">
            <w:pPr>
              <w:rPr>
                <w:rFonts w:ascii="Arial" w:hAnsi="Arial" w:cs="Arial"/>
                <w:highlight w:val="yellow"/>
              </w:rPr>
            </w:pPr>
          </w:p>
        </w:tc>
      </w:tr>
      <w:tr w:rsidR="00195062" w:rsidRPr="00D77860" w14:paraId="4FFFD754" w14:textId="77777777">
        <w:trPr>
          <w:trHeight w:val="1701"/>
        </w:trPr>
        <w:tc>
          <w:tcPr>
            <w:tcW w:w="1701" w:type="dxa"/>
          </w:tcPr>
          <w:p w14:paraId="4FFFD751" w14:textId="77777777" w:rsidR="00195062" w:rsidRPr="00D77860" w:rsidRDefault="00195062">
            <w:pPr>
              <w:rPr>
                <w:rFonts w:ascii="Arial" w:hAnsi="Arial" w:cs="Arial"/>
                <w:highlight w:val="yellow"/>
              </w:rPr>
            </w:pPr>
          </w:p>
        </w:tc>
        <w:tc>
          <w:tcPr>
            <w:tcW w:w="6237" w:type="dxa"/>
          </w:tcPr>
          <w:p w14:paraId="4FFFD752" w14:textId="77777777" w:rsidR="00195062" w:rsidRPr="00D77860" w:rsidRDefault="00195062">
            <w:pPr>
              <w:pStyle w:val="Title"/>
              <w:rPr>
                <w:rFonts w:ascii="Arial" w:hAnsi="Arial" w:cs="Arial"/>
                <w:highlight w:val="yellow"/>
              </w:rPr>
            </w:pPr>
          </w:p>
        </w:tc>
        <w:tc>
          <w:tcPr>
            <w:tcW w:w="1418" w:type="dxa"/>
          </w:tcPr>
          <w:p w14:paraId="4FFFD753" w14:textId="77777777" w:rsidR="00195062" w:rsidRPr="00D77860" w:rsidRDefault="00195062">
            <w:pPr>
              <w:rPr>
                <w:rFonts w:ascii="Arial" w:hAnsi="Arial" w:cs="Arial"/>
                <w:highlight w:val="yellow"/>
              </w:rPr>
            </w:pPr>
          </w:p>
        </w:tc>
      </w:tr>
    </w:tbl>
    <w:p w14:paraId="4FFFD755" w14:textId="77777777" w:rsidR="00195062" w:rsidRPr="00D77860" w:rsidRDefault="00195062">
      <w:pPr>
        <w:rPr>
          <w:rFonts w:ascii="Arial" w:hAnsi="Arial" w:cs="Arial"/>
          <w:highlight w:val="yellow"/>
        </w:rPr>
      </w:pPr>
    </w:p>
    <w:tbl>
      <w:tblPr>
        <w:tblW w:w="0" w:type="auto"/>
        <w:tblLayout w:type="fixed"/>
        <w:tblCellMar>
          <w:left w:w="0" w:type="dxa"/>
          <w:right w:w="0" w:type="dxa"/>
        </w:tblCellMar>
        <w:tblLook w:val="0000" w:firstRow="0" w:lastRow="0" w:firstColumn="0" w:lastColumn="0" w:noHBand="0" w:noVBand="0"/>
      </w:tblPr>
      <w:tblGrid>
        <w:gridCol w:w="1701"/>
        <w:gridCol w:w="6237"/>
        <w:gridCol w:w="1418"/>
      </w:tblGrid>
      <w:tr w:rsidR="00195062" w:rsidRPr="00D77860" w14:paraId="4FFFD759" w14:textId="77777777">
        <w:trPr>
          <w:trHeight w:val="3000"/>
        </w:trPr>
        <w:tc>
          <w:tcPr>
            <w:tcW w:w="1701" w:type="dxa"/>
          </w:tcPr>
          <w:p w14:paraId="4FFFD756" w14:textId="77777777" w:rsidR="00195062" w:rsidRPr="00D77860" w:rsidRDefault="00195062">
            <w:pPr>
              <w:rPr>
                <w:rFonts w:ascii="Arial" w:hAnsi="Arial" w:cs="Arial"/>
                <w:highlight w:val="yellow"/>
              </w:rPr>
            </w:pPr>
          </w:p>
        </w:tc>
        <w:tc>
          <w:tcPr>
            <w:tcW w:w="6237" w:type="dxa"/>
          </w:tcPr>
          <w:p w14:paraId="4FFFD757" w14:textId="01370A56" w:rsidR="00195062" w:rsidRPr="009E0E1D" w:rsidRDefault="006F189E" w:rsidP="00D77860">
            <w:pPr>
              <w:pStyle w:val="Title"/>
              <w:rPr>
                <w:rFonts w:ascii="Arial" w:hAnsi="Arial" w:cs="Arial"/>
                <w:b w:val="0"/>
                <w:highlight w:val="yellow"/>
              </w:rPr>
            </w:pPr>
            <w:r>
              <w:rPr>
                <w:rFonts w:ascii="Arial" w:hAnsi="Arial" w:cs="Arial"/>
                <w:b w:val="0"/>
                <w:sz w:val="24"/>
              </w:rPr>
              <w:t>August</w:t>
            </w:r>
            <w:r w:rsidR="00893935">
              <w:rPr>
                <w:rFonts w:ascii="Arial" w:hAnsi="Arial" w:cs="Arial"/>
                <w:b w:val="0"/>
                <w:sz w:val="24"/>
              </w:rPr>
              <w:t xml:space="preserve"> 201</w:t>
            </w:r>
            <w:r w:rsidR="00EC27C0">
              <w:rPr>
                <w:rFonts w:ascii="Arial" w:hAnsi="Arial" w:cs="Arial"/>
                <w:b w:val="0"/>
                <w:sz w:val="24"/>
              </w:rPr>
              <w:t>9</w:t>
            </w:r>
          </w:p>
        </w:tc>
        <w:tc>
          <w:tcPr>
            <w:tcW w:w="1418" w:type="dxa"/>
          </w:tcPr>
          <w:p w14:paraId="4FFFD758" w14:textId="77777777" w:rsidR="00195062" w:rsidRPr="00D77860" w:rsidRDefault="00195062">
            <w:pPr>
              <w:rPr>
                <w:rFonts w:ascii="Arial" w:hAnsi="Arial" w:cs="Arial"/>
                <w:highlight w:val="yellow"/>
              </w:rPr>
            </w:pPr>
          </w:p>
        </w:tc>
      </w:tr>
      <w:tr w:rsidR="00195062" w:rsidRPr="00D77860" w14:paraId="4FFFD75E" w14:textId="77777777">
        <w:trPr>
          <w:trHeight w:val="2600"/>
        </w:trPr>
        <w:tc>
          <w:tcPr>
            <w:tcW w:w="1701" w:type="dxa"/>
          </w:tcPr>
          <w:p w14:paraId="4FFFD75A" w14:textId="77777777" w:rsidR="00195062" w:rsidRPr="00D77860" w:rsidRDefault="00195062">
            <w:pPr>
              <w:rPr>
                <w:rFonts w:ascii="Arial" w:hAnsi="Arial" w:cs="Arial"/>
                <w:highlight w:val="yellow"/>
              </w:rPr>
            </w:pPr>
          </w:p>
        </w:tc>
        <w:tc>
          <w:tcPr>
            <w:tcW w:w="7655" w:type="dxa"/>
            <w:gridSpan w:val="2"/>
          </w:tcPr>
          <w:p w14:paraId="4FFFD75B" w14:textId="77777777" w:rsidR="00710D25" w:rsidRPr="00D77860" w:rsidRDefault="00710D25" w:rsidP="00710D25">
            <w:pPr>
              <w:pStyle w:val="Subtitle"/>
              <w:jc w:val="center"/>
              <w:rPr>
                <w:rFonts w:ascii="Arial" w:hAnsi="Arial" w:cs="Arial"/>
                <w:sz w:val="56"/>
                <w:szCs w:val="56"/>
                <w:highlight w:val="yellow"/>
              </w:rPr>
            </w:pPr>
          </w:p>
          <w:p w14:paraId="4FFFD75C" w14:textId="77777777" w:rsidR="00710D25" w:rsidRPr="00D77860" w:rsidRDefault="00710D25" w:rsidP="00710D25">
            <w:pPr>
              <w:pStyle w:val="Subtitle"/>
              <w:jc w:val="center"/>
              <w:rPr>
                <w:rFonts w:ascii="Arial" w:hAnsi="Arial" w:cs="Arial"/>
                <w:sz w:val="56"/>
                <w:szCs w:val="56"/>
                <w:highlight w:val="yellow"/>
              </w:rPr>
            </w:pPr>
          </w:p>
          <w:p w14:paraId="4FFFD75D" w14:textId="77777777" w:rsidR="00195062" w:rsidRPr="00D77860" w:rsidRDefault="00195062" w:rsidP="00710D25">
            <w:pPr>
              <w:pStyle w:val="Subtitle"/>
              <w:jc w:val="center"/>
              <w:rPr>
                <w:rFonts w:ascii="Arial" w:hAnsi="Arial" w:cs="Arial"/>
                <w:sz w:val="44"/>
                <w:szCs w:val="44"/>
                <w:highlight w:val="yellow"/>
              </w:rPr>
            </w:pPr>
          </w:p>
        </w:tc>
      </w:tr>
    </w:tbl>
    <w:p w14:paraId="4FFFD75F" w14:textId="77777777" w:rsidR="00195062" w:rsidRPr="008E753F" w:rsidRDefault="00195062">
      <w:pPr>
        <w:rPr>
          <w:highlight w:val="yellow"/>
        </w:rPr>
      </w:pPr>
      <w:r w:rsidRPr="008E753F">
        <w:rPr>
          <w:highlight w:val="yellow"/>
        </w:rPr>
        <w:br w:type="page"/>
      </w:r>
    </w:p>
    <w:p w14:paraId="4FFFD760" w14:textId="1BBE6E9E" w:rsidR="00195062" w:rsidRPr="00D77860" w:rsidRDefault="007F76A5">
      <w:pPr>
        <w:pStyle w:val="SectionTitle"/>
        <w:framePr w:w="9245" w:wrap="around" w:hAnchor="page" w:x="1443"/>
        <w:rPr>
          <w:rFonts w:ascii="Arial" w:hAnsi="Arial" w:cs="Arial"/>
          <w:sz w:val="32"/>
        </w:rPr>
      </w:pPr>
      <w:r>
        <w:rPr>
          <w:rFonts w:ascii="Arial" w:hAnsi="Arial" w:cs="Arial"/>
        </w:rPr>
        <w:lastRenderedPageBreak/>
        <w:t>Dell UK Employee Financial Security Pension Plan</w:t>
      </w:r>
      <w:r w:rsidR="00195062" w:rsidRPr="00D77860">
        <w:rPr>
          <w:rFonts w:ascii="Arial" w:hAnsi="Arial" w:cs="Arial"/>
        </w:rPr>
        <w:br/>
      </w:r>
      <w:r w:rsidR="00195062" w:rsidRPr="00D77860">
        <w:rPr>
          <w:rFonts w:ascii="Arial" w:hAnsi="Arial" w:cs="Arial"/>
          <w:sz w:val="32"/>
        </w:rPr>
        <w:t>Statement of Investment Principles</w:t>
      </w:r>
    </w:p>
    <w:p w14:paraId="4FFFD761" w14:textId="77777777" w:rsidR="00195062" w:rsidRPr="00D77860" w:rsidRDefault="00195062">
      <w:pPr>
        <w:pStyle w:val="BodyText"/>
        <w:rPr>
          <w:rFonts w:ascii="Arial" w:hAnsi="Arial" w:cs="Arial"/>
          <w:highlight w:val="yellow"/>
        </w:rPr>
      </w:pPr>
    </w:p>
    <w:tbl>
      <w:tblPr>
        <w:tblW w:w="0" w:type="auto"/>
        <w:tblLayout w:type="fixed"/>
        <w:tblCellMar>
          <w:left w:w="85" w:type="dxa"/>
          <w:right w:w="85" w:type="dxa"/>
        </w:tblCellMar>
        <w:tblLook w:val="0000" w:firstRow="0" w:lastRow="0" w:firstColumn="0" w:lastColumn="0" w:noHBand="0" w:noVBand="0"/>
      </w:tblPr>
      <w:tblGrid>
        <w:gridCol w:w="567"/>
        <w:gridCol w:w="7980"/>
        <w:gridCol w:w="709"/>
      </w:tblGrid>
      <w:tr w:rsidR="00195062" w:rsidRPr="00D77860" w14:paraId="4FFFD764" w14:textId="77777777">
        <w:trPr>
          <w:trHeight w:val="360"/>
        </w:trPr>
        <w:tc>
          <w:tcPr>
            <w:tcW w:w="8547" w:type="dxa"/>
            <w:gridSpan w:val="2"/>
            <w:tcBorders>
              <w:top w:val="single" w:sz="6" w:space="0" w:color="auto"/>
              <w:bottom w:val="single" w:sz="4" w:space="0" w:color="auto"/>
            </w:tcBorders>
          </w:tcPr>
          <w:p w14:paraId="4FFFD762" w14:textId="77777777" w:rsidR="00195062" w:rsidRPr="00D77860" w:rsidRDefault="00195062">
            <w:pPr>
              <w:pStyle w:val="Subtitle"/>
              <w:rPr>
                <w:rFonts w:ascii="Arial" w:hAnsi="Arial" w:cs="Arial"/>
                <w:sz w:val="22"/>
              </w:rPr>
            </w:pPr>
            <w:r w:rsidRPr="00D77860">
              <w:rPr>
                <w:rFonts w:ascii="Arial" w:hAnsi="Arial" w:cs="Arial"/>
                <w:sz w:val="22"/>
              </w:rPr>
              <w:t>Section</w:t>
            </w:r>
          </w:p>
        </w:tc>
        <w:tc>
          <w:tcPr>
            <w:tcW w:w="709" w:type="dxa"/>
            <w:tcBorders>
              <w:top w:val="single" w:sz="6" w:space="0" w:color="auto"/>
              <w:bottom w:val="single" w:sz="4" w:space="0" w:color="auto"/>
            </w:tcBorders>
          </w:tcPr>
          <w:p w14:paraId="4FFFD763" w14:textId="77777777" w:rsidR="00195062" w:rsidRPr="00D77860" w:rsidRDefault="00195062">
            <w:pPr>
              <w:pStyle w:val="Subtitle"/>
              <w:jc w:val="right"/>
              <w:rPr>
                <w:rFonts w:ascii="Arial" w:hAnsi="Arial" w:cs="Arial"/>
                <w:sz w:val="22"/>
              </w:rPr>
            </w:pPr>
            <w:r w:rsidRPr="00D77860">
              <w:rPr>
                <w:rFonts w:ascii="Arial" w:hAnsi="Arial" w:cs="Arial"/>
                <w:sz w:val="22"/>
              </w:rPr>
              <w:t>Page</w:t>
            </w:r>
          </w:p>
        </w:tc>
      </w:tr>
      <w:tr w:rsidR="00195062" w:rsidRPr="00D77860" w14:paraId="4FFFD768" w14:textId="77777777">
        <w:trPr>
          <w:trHeight w:val="360"/>
        </w:trPr>
        <w:tc>
          <w:tcPr>
            <w:tcW w:w="567" w:type="dxa"/>
            <w:tcBorders>
              <w:top w:val="single" w:sz="4" w:space="0" w:color="auto"/>
            </w:tcBorders>
          </w:tcPr>
          <w:p w14:paraId="4FFFD765" w14:textId="77777777" w:rsidR="00195062" w:rsidRPr="00D77860" w:rsidRDefault="00195062" w:rsidP="005B6817">
            <w:pPr>
              <w:pStyle w:val="BodyText"/>
              <w:numPr>
                <w:ilvl w:val="0"/>
                <w:numId w:val="7"/>
              </w:numPr>
              <w:jc w:val="left"/>
              <w:rPr>
                <w:rFonts w:ascii="Arial" w:hAnsi="Arial" w:cs="Arial"/>
                <w:b/>
                <w:sz w:val="22"/>
              </w:rPr>
            </w:pPr>
            <w:r w:rsidRPr="00D77860">
              <w:rPr>
                <w:rFonts w:ascii="Arial" w:hAnsi="Arial" w:cs="Arial"/>
                <w:b/>
                <w:sz w:val="22"/>
              </w:rPr>
              <w:t>1</w:t>
            </w:r>
          </w:p>
        </w:tc>
        <w:tc>
          <w:tcPr>
            <w:tcW w:w="7980" w:type="dxa"/>
            <w:tcBorders>
              <w:top w:val="single" w:sz="4" w:space="0" w:color="auto"/>
            </w:tcBorders>
          </w:tcPr>
          <w:p w14:paraId="4FFFD766" w14:textId="77777777" w:rsidR="00195062" w:rsidRPr="00D77860" w:rsidRDefault="00195062">
            <w:pPr>
              <w:pStyle w:val="BodyText"/>
              <w:rPr>
                <w:rFonts w:ascii="Arial" w:hAnsi="Arial" w:cs="Arial"/>
                <w:sz w:val="22"/>
              </w:rPr>
            </w:pPr>
            <w:r w:rsidRPr="00D77860">
              <w:rPr>
                <w:rFonts w:ascii="Arial" w:hAnsi="Arial" w:cs="Arial"/>
                <w:sz w:val="22"/>
              </w:rPr>
              <w:t>Introduction</w:t>
            </w:r>
          </w:p>
        </w:tc>
        <w:tc>
          <w:tcPr>
            <w:tcW w:w="709" w:type="dxa"/>
            <w:tcBorders>
              <w:top w:val="single" w:sz="4" w:space="0" w:color="auto"/>
            </w:tcBorders>
          </w:tcPr>
          <w:p w14:paraId="4FFFD767" w14:textId="77777777" w:rsidR="00195062" w:rsidRPr="00D77860" w:rsidRDefault="00C05F72">
            <w:pPr>
              <w:pStyle w:val="BodyText"/>
              <w:jc w:val="right"/>
              <w:rPr>
                <w:rFonts w:ascii="Arial" w:hAnsi="Arial" w:cs="Arial"/>
                <w:sz w:val="22"/>
              </w:rPr>
            </w:pPr>
            <w:r w:rsidRPr="00D77860">
              <w:rPr>
                <w:rFonts w:ascii="Arial" w:hAnsi="Arial" w:cs="Arial"/>
                <w:sz w:val="22"/>
              </w:rPr>
              <w:t>3</w:t>
            </w:r>
          </w:p>
        </w:tc>
      </w:tr>
      <w:tr w:rsidR="00195062" w:rsidRPr="00D77860" w14:paraId="4FFFD76C" w14:textId="77777777">
        <w:trPr>
          <w:trHeight w:val="360"/>
        </w:trPr>
        <w:tc>
          <w:tcPr>
            <w:tcW w:w="567" w:type="dxa"/>
          </w:tcPr>
          <w:p w14:paraId="4FFFD769" w14:textId="77777777" w:rsidR="00195062" w:rsidRPr="00D77860" w:rsidRDefault="00195062" w:rsidP="005B6817">
            <w:pPr>
              <w:pStyle w:val="BodyText"/>
              <w:numPr>
                <w:ilvl w:val="0"/>
                <w:numId w:val="7"/>
              </w:numPr>
              <w:jc w:val="left"/>
              <w:rPr>
                <w:rFonts w:ascii="Arial" w:hAnsi="Arial" w:cs="Arial"/>
                <w:b/>
                <w:sz w:val="22"/>
              </w:rPr>
            </w:pPr>
            <w:r w:rsidRPr="00D77860">
              <w:rPr>
                <w:rFonts w:ascii="Arial" w:hAnsi="Arial" w:cs="Arial"/>
                <w:b/>
                <w:sz w:val="22"/>
              </w:rPr>
              <w:t>2</w:t>
            </w:r>
          </w:p>
        </w:tc>
        <w:tc>
          <w:tcPr>
            <w:tcW w:w="7980" w:type="dxa"/>
          </w:tcPr>
          <w:p w14:paraId="4FFFD76A" w14:textId="77777777" w:rsidR="00195062" w:rsidRPr="00D77860" w:rsidRDefault="00195062">
            <w:pPr>
              <w:pStyle w:val="BodyText"/>
              <w:rPr>
                <w:rFonts w:ascii="Arial" w:hAnsi="Arial" w:cs="Arial"/>
                <w:sz w:val="22"/>
              </w:rPr>
            </w:pPr>
            <w:r w:rsidRPr="00D77860">
              <w:rPr>
                <w:rFonts w:ascii="Arial" w:hAnsi="Arial" w:cs="Arial"/>
                <w:sz w:val="22"/>
              </w:rPr>
              <w:t>Division of responsibilities</w:t>
            </w:r>
          </w:p>
        </w:tc>
        <w:tc>
          <w:tcPr>
            <w:tcW w:w="709" w:type="dxa"/>
          </w:tcPr>
          <w:p w14:paraId="4FFFD76B" w14:textId="490F086D" w:rsidR="00195062" w:rsidRPr="00D77860" w:rsidRDefault="0049240D">
            <w:pPr>
              <w:pStyle w:val="BodyText"/>
              <w:jc w:val="right"/>
              <w:rPr>
                <w:rFonts w:ascii="Arial" w:hAnsi="Arial" w:cs="Arial"/>
                <w:sz w:val="22"/>
              </w:rPr>
            </w:pPr>
            <w:r w:rsidRPr="00D77860">
              <w:rPr>
                <w:rFonts w:ascii="Arial" w:hAnsi="Arial" w:cs="Arial"/>
                <w:sz w:val="22"/>
              </w:rPr>
              <w:t>4</w:t>
            </w:r>
          </w:p>
        </w:tc>
      </w:tr>
      <w:tr w:rsidR="00195062" w:rsidRPr="00D77860" w14:paraId="4FFFD770" w14:textId="77777777">
        <w:trPr>
          <w:trHeight w:val="360"/>
        </w:trPr>
        <w:tc>
          <w:tcPr>
            <w:tcW w:w="567" w:type="dxa"/>
          </w:tcPr>
          <w:p w14:paraId="4FFFD76D" w14:textId="77777777" w:rsidR="00195062" w:rsidRPr="00D77860" w:rsidRDefault="00195062" w:rsidP="005B6817">
            <w:pPr>
              <w:pStyle w:val="BodyText"/>
              <w:numPr>
                <w:ilvl w:val="0"/>
                <w:numId w:val="7"/>
              </w:numPr>
              <w:jc w:val="left"/>
              <w:rPr>
                <w:rFonts w:ascii="Arial" w:hAnsi="Arial" w:cs="Arial"/>
                <w:b/>
                <w:sz w:val="22"/>
              </w:rPr>
            </w:pPr>
            <w:r w:rsidRPr="00D77860">
              <w:rPr>
                <w:rFonts w:ascii="Arial" w:hAnsi="Arial" w:cs="Arial"/>
                <w:b/>
                <w:sz w:val="22"/>
              </w:rPr>
              <w:t>3</w:t>
            </w:r>
          </w:p>
        </w:tc>
        <w:tc>
          <w:tcPr>
            <w:tcW w:w="7980" w:type="dxa"/>
          </w:tcPr>
          <w:p w14:paraId="4FFFD76E" w14:textId="77777777" w:rsidR="00195062" w:rsidRPr="00D77860" w:rsidRDefault="00D32D9D" w:rsidP="00D32D9D">
            <w:pPr>
              <w:pStyle w:val="BodyText"/>
              <w:rPr>
                <w:rFonts w:ascii="Arial" w:hAnsi="Arial" w:cs="Arial"/>
                <w:sz w:val="22"/>
              </w:rPr>
            </w:pPr>
            <w:r w:rsidRPr="00D77860">
              <w:rPr>
                <w:rFonts w:ascii="Arial" w:hAnsi="Arial" w:cs="Arial"/>
                <w:sz w:val="22"/>
              </w:rPr>
              <w:t>Stewardship and environmental, social and corporate governance (ESG) issues</w:t>
            </w:r>
          </w:p>
        </w:tc>
        <w:tc>
          <w:tcPr>
            <w:tcW w:w="709" w:type="dxa"/>
          </w:tcPr>
          <w:p w14:paraId="4FFFD76F" w14:textId="353F0E31" w:rsidR="00195062" w:rsidRPr="00D77860" w:rsidRDefault="0049240D" w:rsidP="00DF3A38">
            <w:pPr>
              <w:pStyle w:val="BodyText"/>
              <w:jc w:val="right"/>
              <w:rPr>
                <w:rFonts w:ascii="Arial" w:hAnsi="Arial" w:cs="Arial"/>
                <w:sz w:val="22"/>
              </w:rPr>
            </w:pPr>
            <w:r w:rsidRPr="00D77860">
              <w:rPr>
                <w:rFonts w:ascii="Arial" w:hAnsi="Arial" w:cs="Arial"/>
                <w:sz w:val="22"/>
              </w:rPr>
              <w:t>5</w:t>
            </w:r>
          </w:p>
        </w:tc>
      </w:tr>
      <w:tr w:rsidR="00DF3A38" w:rsidRPr="00D77860" w14:paraId="4FFFD77C" w14:textId="77777777" w:rsidTr="00C05F72">
        <w:trPr>
          <w:trHeight w:val="360"/>
        </w:trPr>
        <w:tc>
          <w:tcPr>
            <w:tcW w:w="567" w:type="dxa"/>
          </w:tcPr>
          <w:p w14:paraId="4FFFD779" w14:textId="77777777" w:rsidR="00DF3A38" w:rsidRPr="00D77860" w:rsidRDefault="00DF3A38" w:rsidP="005B6817">
            <w:pPr>
              <w:pStyle w:val="BodyText"/>
              <w:numPr>
                <w:ilvl w:val="0"/>
                <w:numId w:val="7"/>
              </w:numPr>
              <w:jc w:val="left"/>
              <w:rPr>
                <w:rFonts w:ascii="Arial" w:hAnsi="Arial" w:cs="Arial"/>
                <w:b/>
                <w:sz w:val="22"/>
              </w:rPr>
            </w:pPr>
            <w:r w:rsidRPr="00D77860">
              <w:rPr>
                <w:rFonts w:ascii="Arial" w:hAnsi="Arial" w:cs="Arial"/>
                <w:b/>
                <w:sz w:val="22"/>
              </w:rPr>
              <w:t>8</w:t>
            </w:r>
          </w:p>
        </w:tc>
        <w:tc>
          <w:tcPr>
            <w:tcW w:w="7980" w:type="dxa"/>
          </w:tcPr>
          <w:p w14:paraId="4FFFD77A" w14:textId="6689738A" w:rsidR="00DF3A38" w:rsidRPr="00D77860" w:rsidRDefault="00D32D9D" w:rsidP="00BC6365">
            <w:pPr>
              <w:pStyle w:val="BodyText"/>
              <w:jc w:val="left"/>
              <w:rPr>
                <w:rFonts w:ascii="Arial" w:hAnsi="Arial" w:cs="Arial"/>
                <w:sz w:val="22"/>
              </w:rPr>
            </w:pPr>
            <w:r w:rsidRPr="00D77860">
              <w:rPr>
                <w:rFonts w:ascii="Arial" w:hAnsi="Arial" w:cs="Arial"/>
                <w:sz w:val="22"/>
              </w:rPr>
              <w:t>Investment arrangements</w:t>
            </w:r>
          </w:p>
        </w:tc>
        <w:tc>
          <w:tcPr>
            <w:tcW w:w="709" w:type="dxa"/>
          </w:tcPr>
          <w:p w14:paraId="4FFFD77B" w14:textId="3C6009DB" w:rsidR="00DF3A38" w:rsidRPr="00D77860" w:rsidRDefault="0049240D" w:rsidP="003F686F">
            <w:pPr>
              <w:pStyle w:val="BodyText"/>
              <w:tabs>
                <w:tab w:val="num" w:pos="720"/>
              </w:tabs>
              <w:ind w:left="720" w:hanging="720"/>
              <w:jc w:val="right"/>
              <w:rPr>
                <w:rFonts w:ascii="Arial" w:hAnsi="Arial" w:cs="Arial"/>
                <w:sz w:val="22"/>
              </w:rPr>
            </w:pPr>
            <w:r w:rsidRPr="00D77860">
              <w:rPr>
                <w:rFonts w:ascii="Arial" w:hAnsi="Arial" w:cs="Arial"/>
                <w:sz w:val="22"/>
              </w:rPr>
              <w:t>6</w:t>
            </w:r>
          </w:p>
        </w:tc>
      </w:tr>
      <w:tr w:rsidR="00C05F72" w:rsidRPr="00D77860" w14:paraId="4FFFD780" w14:textId="77777777" w:rsidTr="00C22918">
        <w:trPr>
          <w:trHeight w:val="360"/>
        </w:trPr>
        <w:tc>
          <w:tcPr>
            <w:tcW w:w="567" w:type="dxa"/>
          </w:tcPr>
          <w:p w14:paraId="4FFFD77D" w14:textId="77777777" w:rsidR="00C05F72" w:rsidRPr="00D77860" w:rsidRDefault="00D32D9D" w:rsidP="005B6817">
            <w:pPr>
              <w:pStyle w:val="BodyText"/>
              <w:numPr>
                <w:ilvl w:val="0"/>
                <w:numId w:val="7"/>
              </w:numPr>
              <w:rPr>
                <w:rFonts w:ascii="Arial" w:hAnsi="Arial" w:cs="Arial"/>
                <w:b/>
                <w:sz w:val="22"/>
              </w:rPr>
            </w:pPr>
            <w:r w:rsidRPr="00D77860">
              <w:rPr>
                <w:rFonts w:ascii="Arial" w:hAnsi="Arial" w:cs="Arial"/>
                <w:b/>
                <w:sz w:val="22"/>
              </w:rPr>
              <w:t>7</w:t>
            </w:r>
          </w:p>
        </w:tc>
        <w:tc>
          <w:tcPr>
            <w:tcW w:w="7980" w:type="dxa"/>
          </w:tcPr>
          <w:p w14:paraId="4FFFD77E" w14:textId="77777777" w:rsidR="00C05F72" w:rsidRPr="00D77860" w:rsidRDefault="00D32D9D" w:rsidP="00C05F72">
            <w:pPr>
              <w:pStyle w:val="BodyText"/>
              <w:tabs>
                <w:tab w:val="num" w:pos="720"/>
              </w:tabs>
              <w:jc w:val="left"/>
              <w:rPr>
                <w:rFonts w:ascii="Arial" w:hAnsi="Arial" w:cs="Arial"/>
                <w:sz w:val="22"/>
              </w:rPr>
            </w:pPr>
            <w:r w:rsidRPr="00D77860">
              <w:rPr>
                <w:rFonts w:ascii="Arial" w:hAnsi="Arial" w:cs="Arial"/>
                <w:sz w:val="22"/>
              </w:rPr>
              <w:t>Risk</w:t>
            </w:r>
          </w:p>
        </w:tc>
        <w:tc>
          <w:tcPr>
            <w:tcW w:w="709" w:type="dxa"/>
          </w:tcPr>
          <w:p w14:paraId="4FFFD77F" w14:textId="293C76A3" w:rsidR="00C05F72" w:rsidRPr="00D77860" w:rsidRDefault="009E0E1D" w:rsidP="0049240D">
            <w:pPr>
              <w:pStyle w:val="BodyText"/>
              <w:tabs>
                <w:tab w:val="num" w:pos="720"/>
              </w:tabs>
              <w:ind w:left="720" w:hanging="720"/>
              <w:jc w:val="right"/>
              <w:rPr>
                <w:rFonts w:ascii="Arial" w:hAnsi="Arial" w:cs="Arial"/>
                <w:sz w:val="22"/>
              </w:rPr>
            </w:pPr>
            <w:r>
              <w:rPr>
                <w:rFonts w:ascii="Arial" w:hAnsi="Arial" w:cs="Arial"/>
                <w:sz w:val="22"/>
              </w:rPr>
              <w:t>10</w:t>
            </w:r>
          </w:p>
        </w:tc>
      </w:tr>
      <w:tr w:rsidR="00D32D9D" w:rsidRPr="00D77860" w14:paraId="4FFFD784" w14:textId="77777777">
        <w:trPr>
          <w:trHeight w:val="360"/>
        </w:trPr>
        <w:tc>
          <w:tcPr>
            <w:tcW w:w="567" w:type="dxa"/>
            <w:tcBorders>
              <w:bottom w:val="single" w:sz="6" w:space="0" w:color="auto"/>
            </w:tcBorders>
          </w:tcPr>
          <w:p w14:paraId="4FFFD781" w14:textId="77777777" w:rsidR="00D32D9D" w:rsidRPr="00D77860" w:rsidRDefault="00D32D9D" w:rsidP="00C05F72">
            <w:pPr>
              <w:pStyle w:val="BodyText"/>
              <w:ind w:left="720"/>
              <w:jc w:val="left"/>
              <w:rPr>
                <w:rFonts w:ascii="Arial" w:hAnsi="Arial" w:cs="Arial"/>
                <w:b/>
                <w:sz w:val="22"/>
              </w:rPr>
            </w:pPr>
          </w:p>
        </w:tc>
        <w:tc>
          <w:tcPr>
            <w:tcW w:w="7980" w:type="dxa"/>
            <w:tcBorders>
              <w:bottom w:val="single" w:sz="6" w:space="0" w:color="auto"/>
            </w:tcBorders>
          </w:tcPr>
          <w:p w14:paraId="4FFFD782" w14:textId="77777777" w:rsidR="00D32D9D" w:rsidRPr="00D77860" w:rsidRDefault="00D32D9D" w:rsidP="00C05F72">
            <w:pPr>
              <w:pStyle w:val="BodyText"/>
              <w:tabs>
                <w:tab w:val="num" w:pos="720"/>
              </w:tabs>
              <w:jc w:val="left"/>
              <w:rPr>
                <w:rFonts w:ascii="Arial" w:hAnsi="Arial" w:cs="Arial"/>
                <w:sz w:val="22"/>
              </w:rPr>
            </w:pPr>
          </w:p>
        </w:tc>
        <w:tc>
          <w:tcPr>
            <w:tcW w:w="709" w:type="dxa"/>
            <w:tcBorders>
              <w:bottom w:val="single" w:sz="6" w:space="0" w:color="auto"/>
            </w:tcBorders>
          </w:tcPr>
          <w:p w14:paraId="4FFFD783" w14:textId="77777777" w:rsidR="00D32D9D" w:rsidRPr="00D77860" w:rsidRDefault="00D32D9D" w:rsidP="00E81E41">
            <w:pPr>
              <w:pStyle w:val="BodyText"/>
              <w:tabs>
                <w:tab w:val="num" w:pos="720"/>
              </w:tabs>
              <w:ind w:left="720" w:hanging="720"/>
              <w:jc w:val="right"/>
              <w:rPr>
                <w:rFonts w:ascii="Arial" w:hAnsi="Arial" w:cs="Arial"/>
                <w:sz w:val="22"/>
              </w:rPr>
            </w:pPr>
          </w:p>
        </w:tc>
      </w:tr>
      <w:tr w:rsidR="002766B1" w:rsidRPr="00D77860" w14:paraId="4FFFD78C" w14:textId="77777777">
        <w:trPr>
          <w:trHeight w:val="360"/>
        </w:trPr>
        <w:tc>
          <w:tcPr>
            <w:tcW w:w="567" w:type="dxa"/>
            <w:tcBorders>
              <w:bottom w:val="single" w:sz="6" w:space="0" w:color="auto"/>
            </w:tcBorders>
          </w:tcPr>
          <w:p w14:paraId="4FFFD789" w14:textId="77777777" w:rsidR="002766B1" w:rsidRPr="00D77860" w:rsidRDefault="002766B1" w:rsidP="005B6817">
            <w:pPr>
              <w:pStyle w:val="BodyText"/>
              <w:numPr>
                <w:ilvl w:val="0"/>
                <w:numId w:val="12"/>
              </w:numPr>
              <w:jc w:val="left"/>
              <w:rPr>
                <w:rFonts w:ascii="Arial" w:hAnsi="Arial" w:cs="Arial"/>
                <w:b/>
                <w:sz w:val="22"/>
              </w:rPr>
            </w:pPr>
          </w:p>
        </w:tc>
        <w:tc>
          <w:tcPr>
            <w:tcW w:w="7980" w:type="dxa"/>
            <w:tcBorders>
              <w:bottom w:val="single" w:sz="6" w:space="0" w:color="auto"/>
            </w:tcBorders>
          </w:tcPr>
          <w:p w14:paraId="4FFFD78A" w14:textId="3F49DB7A" w:rsidR="002766B1" w:rsidRPr="00D77860" w:rsidDel="00FC68BA" w:rsidRDefault="002766B1" w:rsidP="00CB3B19">
            <w:pPr>
              <w:pStyle w:val="BodyText"/>
              <w:tabs>
                <w:tab w:val="num" w:pos="720"/>
              </w:tabs>
              <w:jc w:val="left"/>
              <w:rPr>
                <w:rFonts w:ascii="Arial" w:hAnsi="Arial" w:cs="Arial"/>
                <w:sz w:val="22"/>
              </w:rPr>
            </w:pPr>
            <w:r w:rsidRPr="00D77860">
              <w:rPr>
                <w:rFonts w:ascii="Arial" w:hAnsi="Arial" w:cs="Arial"/>
                <w:sz w:val="22"/>
              </w:rPr>
              <w:t>Defined Contribution fund range</w:t>
            </w:r>
          </w:p>
        </w:tc>
        <w:tc>
          <w:tcPr>
            <w:tcW w:w="709" w:type="dxa"/>
            <w:tcBorders>
              <w:bottom w:val="single" w:sz="6" w:space="0" w:color="auto"/>
            </w:tcBorders>
          </w:tcPr>
          <w:p w14:paraId="4FFFD78B" w14:textId="6818DDC8" w:rsidR="002766B1" w:rsidRPr="00D77860" w:rsidRDefault="004A3831" w:rsidP="009E0E1D">
            <w:pPr>
              <w:pStyle w:val="BodyText"/>
              <w:tabs>
                <w:tab w:val="num" w:pos="720"/>
              </w:tabs>
              <w:ind w:left="720" w:hanging="720"/>
              <w:jc w:val="right"/>
              <w:rPr>
                <w:rFonts w:ascii="Arial" w:hAnsi="Arial" w:cs="Arial"/>
                <w:sz w:val="22"/>
              </w:rPr>
            </w:pPr>
            <w:r w:rsidRPr="00D77860">
              <w:rPr>
                <w:rFonts w:ascii="Arial" w:hAnsi="Arial" w:cs="Arial"/>
                <w:sz w:val="22"/>
              </w:rPr>
              <w:t>1</w:t>
            </w:r>
            <w:r w:rsidR="003B31DF">
              <w:rPr>
                <w:rFonts w:ascii="Arial" w:hAnsi="Arial" w:cs="Arial"/>
                <w:sz w:val="22"/>
              </w:rPr>
              <w:t>1</w:t>
            </w:r>
          </w:p>
        </w:tc>
      </w:tr>
    </w:tbl>
    <w:p w14:paraId="4FFFD78D" w14:textId="77777777" w:rsidR="00195062" w:rsidRPr="00D936D6" w:rsidRDefault="00195062" w:rsidP="00B96FCA">
      <w:pPr>
        <w:pStyle w:val="Heading1"/>
        <w:framePr w:wrap="around"/>
        <w:tabs>
          <w:tab w:val="num" w:pos="142"/>
        </w:tabs>
      </w:pPr>
    </w:p>
    <w:p w14:paraId="4FFFD78E" w14:textId="77777777" w:rsidR="00195062" w:rsidRPr="00D77860" w:rsidRDefault="00195062">
      <w:pPr>
        <w:pStyle w:val="SectionTitle"/>
        <w:framePr w:wrap="around"/>
        <w:rPr>
          <w:rFonts w:ascii="Arial" w:hAnsi="Arial" w:cs="Arial"/>
        </w:rPr>
      </w:pPr>
      <w:r w:rsidRPr="00D77860">
        <w:rPr>
          <w:rFonts w:ascii="Arial" w:hAnsi="Arial" w:cs="Arial"/>
        </w:rPr>
        <w:t>Introduction</w:t>
      </w:r>
    </w:p>
    <w:p w14:paraId="4FFFD78F" w14:textId="77777777" w:rsidR="00415120" w:rsidRPr="00A16028" w:rsidRDefault="00415120" w:rsidP="0030111B">
      <w:pPr>
        <w:pStyle w:val="Subtitle"/>
        <w:tabs>
          <w:tab w:val="clear" w:pos="907"/>
          <w:tab w:val="left" w:pos="851"/>
        </w:tabs>
        <w:rPr>
          <w:rFonts w:ascii="Arial" w:hAnsi="Arial" w:cs="Arial"/>
          <w:sz w:val="22"/>
        </w:rPr>
      </w:pPr>
      <w:r w:rsidRPr="00D77860">
        <w:rPr>
          <w:rFonts w:ascii="Arial" w:hAnsi="Arial" w:cs="Arial"/>
          <w:i/>
        </w:rPr>
        <w:tab/>
      </w:r>
      <w:r w:rsidR="0030111B" w:rsidRPr="00A16028">
        <w:rPr>
          <w:rFonts w:ascii="Arial" w:hAnsi="Arial" w:cs="Arial"/>
          <w:sz w:val="22"/>
        </w:rPr>
        <w:t>Pensions Act</w:t>
      </w:r>
    </w:p>
    <w:p w14:paraId="4FFFD790" w14:textId="45C3F9D7" w:rsidR="00415120" w:rsidRPr="00A16028" w:rsidRDefault="00415120" w:rsidP="005B6817">
      <w:pPr>
        <w:pStyle w:val="Heading2"/>
        <w:numPr>
          <w:ilvl w:val="0"/>
          <w:numId w:val="8"/>
        </w:numPr>
        <w:rPr>
          <w:rFonts w:ascii="Arial" w:hAnsi="Arial" w:cs="Arial"/>
          <w:sz w:val="22"/>
        </w:rPr>
      </w:pPr>
      <w:r w:rsidRPr="00A16028">
        <w:rPr>
          <w:rFonts w:ascii="Arial" w:hAnsi="Arial" w:cs="Arial"/>
          <w:sz w:val="22"/>
        </w:rPr>
        <w:t>Under the Pensions Act 1995</w:t>
      </w:r>
      <w:r w:rsidR="0030111B" w:rsidRPr="00A16028">
        <w:rPr>
          <w:rFonts w:ascii="Arial" w:hAnsi="Arial" w:cs="Arial"/>
          <w:sz w:val="22"/>
        </w:rPr>
        <w:t>,</w:t>
      </w:r>
      <w:r w:rsidRPr="00A16028">
        <w:rPr>
          <w:rFonts w:ascii="Arial" w:hAnsi="Arial" w:cs="Arial"/>
          <w:sz w:val="22"/>
        </w:rPr>
        <w:t xml:space="preserve"> as amended by the Pensions Act 2004, </w:t>
      </w:r>
      <w:r w:rsidR="00693671">
        <w:rPr>
          <w:rFonts w:ascii="Arial" w:hAnsi="Arial" w:cs="Arial"/>
          <w:sz w:val="22"/>
        </w:rPr>
        <w:t>the T</w:t>
      </w:r>
      <w:r w:rsidR="00A635A5" w:rsidRPr="00A16028">
        <w:rPr>
          <w:rFonts w:ascii="Arial" w:hAnsi="Arial" w:cs="Arial"/>
          <w:sz w:val="22"/>
        </w:rPr>
        <w:t>rustee</w:t>
      </w:r>
      <w:r w:rsidRPr="00A16028">
        <w:rPr>
          <w:rFonts w:ascii="Arial" w:hAnsi="Arial" w:cs="Arial"/>
          <w:sz w:val="22"/>
        </w:rPr>
        <w:t xml:space="preserve"> </w:t>
      </w:r>
      <w:r w:rsidR="0029719E">
        <w:rPr>
          <w:rFonts w:ascii="Arial" w:hAnsi="Arial" w:cs="Arial"/>
          <w:sz w:val="22"/>
        </w:rPr>
        <w:t>is</w:t>
      </w:r>
      <w:r w:rsidR="0029719E" w:rsidRPr="00A16028">
        <w:rPr>
          <w:rFonts w:ascii="Arial" w:hAnsi="Arial" w:cs="Arial"/>
          <w:sz w:val="22"/>
        </w:rPr>
        <w:t xml:space="preserve"> </w:t>
      </w:r>
      <w:r w:rsidRPr="00A16028">
        <w:rPr>
          <w:rFonts w:ascii="Arial" w:hAnsi="Arial" w:cs="Arial"/>
          <w:sz w:val="22"/>
        </w:rPr>
        <w:t xml:space="preserve">required to prepare a statement of the principles governing investment decisions.  This document fulfils that </w:t>
      </w:r>
      <w:proofErr w:type="gramStart"/>
      <w:r w:rsidRPr="00A16028">
        <w:rPr>
          <w:rFonts w:ascii="Arial" w:hAnsi="Arial" w:cs="Arial"/>
          <w:sz w:val="22"/>
        </w:rPr>
        <w:t>requirement, and</w:t>
      </w:r>
      <w:proofErr w:type="gramEnd"/>
      <w:r w:rsidRPr="00A16028">
        <w:rPr>
          <w:rFonts w:ascii="Arial" w:hAnsi="Arial" w:cs="Arial"/>
          <w:sz w:val="22"/>
        </w:rPr>
        <w:t xml:space="preserve"> describes the investment policy pursued by the </w:t>
      </w:r>
      <w:r w:rsidR="00A635A5" w:rsidRPr="00A16028">
        <w:rPr>
          <w:rFonts w:ascii="Arial" w:hAnsi="Arial" w:cs="Arial"/>
          <w:sz w:val="22"/>
        </w:rPr>
        <w:t>Trustee</w:t>
      </w:r>
      <w:r w:rsidRPr="00A16028">
        <w:rPr>
          <w:rFonts w:ascii="Arial" w:hAnsi="Arial" w:cs="Arial"/>
          <w:sz w:val="22"/>
        </w:rPr>
        <w:t xml:space="preserve"> of the </w:t>
      </w:r>
      <w:r w:rsidR="007F76A5">
        <w:rPr>
          <w:rFonts w:ascii="Arial" w:hAnsi="Arial" w:cs="Arial"/>
          <w:sz w:val="22"/>
        </w:rPr>
        <w:t>Dell UK Employee Financial Security Pension Plan</w:t>
      </w:r>
      <w:r w:rsidRPr="00A16028">
        <w:rPr>
          <w:rFonts w:ascii="Arial" w:hAnsi="Arial" w:cs="Arial"/>
          <w:sz w:val="22"/>
        </w:rPr>
        <w:t xml:space="preserve"> (</w:t>
      </w:r>
      <w:r w:rsidR="003C2488">
        <w:rPr>
          <w:rFonts w:ascii="Arial" w:hAnsi="Arial" w:cs="Arial"/>
          <w:sz w:val="22"/>
        </w:rPr>
        <w:t>‘</w:t>
      </w:r>
      <w:r w:rsidRPr="00A16028">
        <w:rPr>
          <w:rFonts w:ascii="Arial" w:hAnsi="Arial" w:cs="Arial"/>
          <w:sz w:val="22"/>
        </w:rPr>
        <w:t xml:space="preserve">the </w:t>
      </w:r>
      <w:r w:rsidR="007F76A5">
        <w:rPr>
          <w:rFonts w:ascii="Arial" w:hAnsi="Arial" w:cs="Arial"/>
          <w:sz w:val="22"/>
        </w:rPr>
        <w:t>Plan</w:t>
      </w:r>
      <w:r w:rsidRPr="00A16028">
        <w:rPr>
          <w:rFonts w:ascii="Arial" w:hAnsi="Arial" w:cs="Arial"/>
          <w:sz w:val="22"/>
        </w:rPr>
        <w:t>)</w:t>
      </w:r>
      <w:r w:rsidR="00544B2D">
        <w:rPr>
          <w:rFonts w:ascii="Arial" w:hAnsi="Arial" w:cs="Arial"/>
          <w:sz w:val="22"/>
        </w:rPr>
        <w:t>.</w:t>
      </w:r>
      <w:r w:rsidR="005C3F1C" w:rsidRPr="00A16028">
        <w:rPr>
          <w:rFonts w:ascii="Arial" w:hAnsi="Arial" w:cs="Arial"/>
          <w:sz w:val="22"/>
        </w:rPr>
        <w:t xml:space="preserve">  </w:t>
      </w:r>
    </w:p>
    <w:p w14:paraId="4FFFD791" w14:textId="77777777" w:rsidR="00415120" w:rsidRPr="00A16028" w:rsidRDefault="00134750" w:rsidP="005B6817">
      <w:pPr>
        <w:pStyle w:val="Heading2"/>
        <w:numPr>
          <w:ilvl w:val="0"/>
          <w:numId w:val="8"/>
        </w:numPr>
        <w:rPr>
          <w:rFonts w:ascii="Arial" w:hAnsi="Arial" w:cs="Arial"/>
          <w:sz w:val="22"/>
        </w:rPr>
      </w:pPr>
      <w:r w:rsidRPr="00A16028">
        <w:rPr>
          <w:rFonts w:ascii="Arial" w:hAnsi="Arial" w:cs="Arial"/>
          <w:sz w:val="22"/>
        </w:rPr>
        <w:t>In</w:t>
      </w:r>
      <w:r w:rsidR="00415120" w:rsidRPr="00A16028">
        <w:rPr>
          <w:rFonts w:ascii="Arial" w:hAnsi="Arial" w:cs="Arial"/>
          <w:sz w:val="22"/>
        </w:rPr>
        <w:t xml:space="preserve"> preparing this Statement, the </w:t>
      </w:r>
      <w:r w:rsidR="00A635A5" w:rsidRPr="00A16028">
        <w:rPr>
          <w:rFonts w:ascii="Arial" w:hAnsi="Arial" w:cs="Arial"/>
          <w:sz w:val="22"/>
        </w:rPr>
        <w:t>Trustee</w:t>
      </w:r>
      <w:r w:rsidR="00415120" w:rsidRPr="00A16028">
        <w:rPr>
          <w:rFonts w:ascii="Arial" w:hAnsi="Arial" w:cs="Arial"/>
          <w:sz w:val="22"/>
        </w:rPr>
        <w:t xml:space="preserve"> </w:t>
      </w:r>
      <w:r w:rsidR="00A635A5" w:rsidRPr="00A16028">
        <w:rPr>
          <w:rFonts w:ascii="Arial" w:hAnsi="Arial" w:cs="Arial"/>
          <w:sz w:val="22"/>
        </w:rPr>
        <w:t>has</w:t>
      </w:r>
      <w:r w:rsidR="00415120" w:rsidRPr="00A16028">
        <w:rPr>
          <w:rFonts w:ascii="Arial" w:hAnsi="Arial" w:cs="Arial"/>
          <w:sz w:val="22"/>
        </w:rPr>
        <w:t xml:space="preserve"> consulted the Principal Employer and</w:t>
      </w:r>
      <w:r w:rsidR="0030111B" w:rsidRPr="00A16028">
        <w:rPr>
          <w:rFonts w:ascii="Arial" w:hAnsi="Arial" w:cs="Arial"/>
          <w:sz w:val="22"/>
        </w:rPr>
        <w:t xml:space="preserve"> they</w:t>
      </w:r>
      <w:r w:rsidR="00415120" w:rsidRPr="00A16028">
        <w:rPr>
          <w:rFonts w:ascii="Arial" w:hAnsi="Arial" w:cs="Arial"/>
          <w:sz w:val="22"/>
        </w:rPr>
        <w:t xml:space="preserve"> will consult the Principal Employer before revising the Statement.  The </w:t>
      </w:r>
      <w:r w:rsidR="00A635A5" w:rsidRPr="00A16028">
        <w:rPr>
          <w:rFonts w:ascii="Arial" w:hAnsi="Arial" w:cs="Arial"/>
          <w:sz w:val="22"/>
        </w:rPr>
        <w:t>Trustee</w:t>
      </w:r>
      <w:r w:rsidR="00415120" w:rsidRPr="00A16028">
        <w:rPr>
          <w:rFonts w:ascii="Arial" w:hAnsi="Arial" w:cs="Arial"/>
          <w:sz w:val="22"/>
        </w:rPr>
        <w:t xml:space="preserve"> will consult the Principal Employer on changes in investment policy.  </w:t>
      </w:r>
      <w:r w:rsidR="005C3F1C" w:rsidRPr="00A16028">
        <w:rPr>
          <w:rFonts w:ascii="Arial" w:hAnsi="Arial" w:cs="Arial"/>
          <w:sz w:val="22"/>
        </w:rPr>
        <w:t xml:space="preserve">The </w:t>
      </w:r>
      <w:r w:rsidR="00A635A5" w:rsidRPr="00A16028">
        <w:rPr>
          <w:rFonts w:ascii="Arial" w:hAnsi="Arial" w:cs="Arial"/>
          <w:sz w:val="22"/>
        </w:rPr>
        <w:t>Trustee</w:t>
      </w:r>
      <w:r w:rsidR="005C3F1C" w:rsidRPr="00A16028">
        <w:rPr>
          <w:rFonts w:ascii="Arial" w:hAnsi="Arial" w:cs="Arial"/>
          <w:sz w:val="22"/>
        </w:rPr>
        <w:t xml:space="preserve"> will consider any wishes from the Principal Employer to amend the investment policies set out in this document when they are notified by the Principal Employer.  </w:t>
      </w:r>
      <w:r w:rsidR="00415120" w:rsidRPr="00A16028">
        <w:rPr>
          <w:rFonts w:ascii="Arial" w:hAnsi="Arial" w:cs="Arial"/>
          <w:sz w:val="22"/>
        </w:rPr>
        <w:t xml:space="preserve">However, the ultimate power and responsibility for deciding investment policy lies with the </w:t>
      </w:r>
      <w:r w:rsidR="00A635A5" w:rsidRPr="00A16028">
        <w:rPr>
          <w:rFonts w:ascii="Arial" w:hAnsi="Arial" w:cs="Arial"/>
          <w:sz w:val="22"/>
        </w:rPr>
        <w:t>Trustee</w:t>
      </w:r>
      <w:r w:rsidR="00415120" w:rsidRPr="00A16028">
        <w:rPr>
          <w:rFonts w:ascii="Arial" w:hAnsi="Arial" w:cs="Arial"/>
          <w:sz w:val="22"/>
        </w:rPr>
        <w:t>.</w:t>
      </w:r>
      <w:r w:rsidR="005C3F1C" w:rsidRPr="00A16028">
        <w:rPr>
          <w:rFonts w:ascii="Arial" w:hAnsi="Arial" w:cs="Arial"/>
          <w:sz w:val="22"/>
        </w:rPr>
        <w:t xml:space="preserve">  </w:t>
      </w:r>
    </w:p>
    <w:p w14:paraId="4FFFD792" w14:textId="04478E53" w:rsidR="00415120" w:rsidRPr="00A16028" w:rsidRDefault="00134750" w:rsidP="005B6817">
      <w:pPr>
        <w:pStyle w:val="Heading2"/>
        <w:numPr>
          <w:ilvl w:val="0"/>
          <w:numId w:val="8"/>
        </w:numPr>
        <w:rPr>
          <w:rFonts w:ascii="Arial" w:hAnsi="Arial" w:cs="Arial"/>
          <w:sz w:val="22"/>
        </w:rPr>
      </w:pPr>
      <w:r w:rsidRPr="00A16028">
        <w:rPr>
          <w:rFonts w:ascii="Arial" w:hAnsi="Arial" w:cs="Arial"/>
          <w:sz w:val="22"/>
        </w:rPr>
        <w:t>In</w:t>
      </w:r>
      <w:r w:rsidR="00415120" w:rsidRPr="00A16028">
        <w:rPr>
          <w:rFonts w:ascii="Arial" w:hAnsi="Arial" w:cs="Arial"/>
          <w:sz w:val="22"/>
        </w:rPr>
        <w:t xml:space="preserve"> preparing this Statement, the </w:t>
      </w:r>
      <w:r w:rsidR="00A635A5" w:rsidRPr="00A16028">
        <w:rPr>
          <w:rFonts w:ascii="Arial" w:hAnsi="Arial" w:cs="Arial"/>
          <w:sz w:val="22"/>
        </w:rPr>
        <w:t>Trustee</w:t>
      </w:r>
      <w:r w:rsidR="00415120" w:rsidRPr="00A16028">
        <w:rPr>
          <w:rFonts w:ascii="Arial" w:hAnsi="Arial" w:cs="Arial"/>
          <w:sz w:val="22"/>
        </w:rPr>
        <w:t xml:space="preserve"> ha</w:t>
      </w:r>
      <w:r w:rsidR="00967065" w:rsidRPr="00A16028">
        <w:rPr>
          <w:rFonts w:ascii="Arial" w:hAnsi="Arial" w:cs="Arial"/>
          <w:sz w:val="22"/>
        </w:rPr>
        <w:t>s</w:t>
      </w:r>
      <w:r w:rsidR="00415120" w:rsidRPr="00A16028">
        <w:rPr>
          <w:rFonts w:ascii="Arial" w:hAnsi="Arial" w:cs="Arial"/>
          <w:sz w:val="22"/>
        </w:rPr>
        <w:t xml:space="preserve"> sought </w:t>
      </w:r>
      <w:r w:rsidR="00B64066" w:rsidRPr="00A16028">
        <w:rPr>
          <w:rFonts w:ascii="Arial" w:hAnsi="Arial" w:cs="Arial"/>
          <w:sz w:val="22"/>
        </w:rPr>
        <w:t xml:space="preserve">written </w:t>
      </w:r>
      <w:r w:rsidR="00415120" w:rsidRPr="00A16028">
        <w:rPr>
          <w:rFonts w:ascii="Arial" w:hAnsi="Arial" w:cs="Arial"/>
          <w:sz w:val="22"/>
        </w:rPr>
        <w:t xml:space="preserve">advice from the </w:t>
      </w:r>
      <w:r w:rsidR="007F76A5">
        <w:rPr>
          <w:rFonts w:ascii="Arial" w:hAnsi="Arial" w:cs="Arial"/>
          <w:sz w:val="22"/>
        </w:rPr>
        <w:t>Plan</w:t>
      </w:r>
      <w:r w:rsidR="00D936D6" w:rsidRPr="00A16028">
        <w:rPr>
          <w:rFonts w:ascii="Arial" w:hAnsi="Arial" w:cs="Arial"/>
          <w:sz w:val="22"/>
        </w:rPr>
        <w:t xml:space="preserve">’s </w:t>
      </w:r>
      <w:r w:rsidR="00415120" w:rsidRPr="00A16028">
        <w:rPr>
          <w:rFonts w:ascii="Arial" w:hAnsi="Arial" w:cs="Arial"/>
          <w:sz w:val="22"/>
        </w:rPr>
        <w:t>investment consultant.  The written advice considered the issues set out in Section 3</w:t>
      </w:r>
      <w:r w:rsidR="00893935">
        <w:rPr>
          <w:rFonts w:ascii="Arial" w:hAnsi="Arial" w:cs="Arial"/>
          <w:sz w:val="22"/>
        </w:rPr>
        <w:t>5</w:t>
      </w:r>
      <w:r w:rsidR="00415120" w:rsidRPr="00A16028">
        <w:rPr>
          <w:rFonts w:ascii="Arial" w:hAnsi="Arial" w:cs="Arial"/>
          <w:sz w:val="22"/>
        </w:rPr>
        <w:t xml:space="preserve"> of the Pensions Act 1995, the Occupational Pension Schemes (Investment) Regulations 2005 and the principles contained in this Statement.</w:t>
      </w:r>
    </w:p>
    <w:p w14:paraId="45630D6E" w14:textId="67A971F5" w:rsidR="00265F3E" w:rsidRPr="00A16028" w:rsidRDefault="00265F3E" w:rsidP="005B6817">
      <w:pPr>
        <w:pStyle w:val="Heading2"/>
        <w:numPr>
          <w:ilvl w:val="0"/>
          <w:numId w:val="8"/>
        </w:numPr>
        <w:rPr>
          <w:rFonts w:ascii="Arial" w:hAnsi="Arial" w:cs="Arial"/>
          <w:sz w:val="22"/>
        </w:rPr>
      </w:pPr>
      <w:r w:rsidRPr="00A16028">
        <w:rPr>
          <w:rFonts w:ascii="Arial" w:hAnsi="Arial" w:cs="Arial"/>
          <w:sz w:val="22"/>
        </w:rPr>
        <w:t xml:space="preserve">Before preparing this </w:t>
      </w:r>
      <w:proofErr w:type="gramStart"/>
      <w:r w:rsidRPr="00A16028">
        <w:rPr>
          <w:rFonts w:ascii="Arial" w:hAnsi="Arial" w:cs="Arial"/>
          <w:sz w:val="22"/>
        </w:rPr>
        <w:t>document</w:t>
      </w:r>
      <w:proofErr w:type="gramEnd"/>
      <w:r w:rsidRPr="00A16028">
        <w:rPr>
          <w:rFonts w:ascii="Arial" w:hAnsi="Arial" w:cs="Arial"/>
          <w:sz w:val="22"/>
        </w:rPr>
        <w:t xml:space="preserve"> the Trustee has had regard to the requirements of the Pensions Act concerning diversification of investments and suitability of investments and the Trustee will consider those requirements on any review of this document or any change in its investment policy. The Trustee will refer to this document where necessary to ensure that it exercises its powers of investment </w:t>
      </w:r>
      <w:proofErr w:type="gramStart"/>
      <w:r w:rsidRPr="00A16028">
        <w:rPr>
          <w:rFonts w:ascii="Arial" w:hAnsi="Arial" w:cs="Arial"/>
          <w:sz w:val="22"/>
        </w:rPr>
        <w:t>so as to</w:t>
      </w:r>
      <w:proofErr w:type="gramEnd"/>
      <w:r w:rsidRPr="00A16028">
        <w:rPr>
          <w:rFonts w:ascii="Arial" w:hAnsi="Arial" w:cs="Arial"/>
          <w:sz w:val="22"/>
        </w:rPr>
        <w:t xml:space="preserve"> give effect to the principles set out in it as far as is reasonable.</w:t>
      </w:r>
    </w:p>
    <w:p w14:paraId="564995AF" w14:textId="18BABDDC" w:rsidR="00265F3E" w:rsidRPr="00A16028" w:rsidRDefault="00415120" w:rsidP="005B6817">
      <w:pPr>
        <w:pStyle w:val="Heading2"/>
        <w:numPr>
          <w:ilvl w:val="0"/>
          <w:numId w:val="8"/>
        </w:numPr>
        <w:rPr>
          <w:rFonts w:ascii="Arial" w:hAnsi="Arial" w:cs="Arial"/>
          <w:sz w:val="22"/>
        </w:rPr>
      </w:pPr>
      <w:r w:rsidRPr="00A16028">
        <w:rPr>
          <w:rFonts w:ascii="Arial" w:hAnsi="Arial" w:cs="Arial"/>
          <w:sz w:val="22"/>
        </w:rPr>
        <w:t xml:space="preserve">The </w:t>
      </w:r>
      <w:r w:rsidR="00A635A5" w:rsidRPr="00A16028">
        <w:rPr>
          <w:rFonts w:ascii="Arial" w:hAnsi="Arial" w:cs="Arial"/>
          <w:sz w:val="22"/>
        </w:rPr>
        <w:t>Trustee</w:t>
      </w:r>
      <w:r w:rsidRPr="00A16028">
        <w:rPr>
          <w:rFonts w:ascii="Arial" w:hAnsi="Arial" w:cs="Arial"/>
          <w:sz w:val="22"/>
        </w:rPr>
        <w:t xml:space="preserve"> will review this Statement, in consultation with the investment consultant, at least once every three years and without delay after any significant change in investment policy, or where the </w:t>
      </w:r>
      <w:r w:rsidR="00A635A5" w:rsidRPr="00A16028">
        <w:rPr>
          <w:rFonts w:ascii="Arial" w:hAnsi="Arial" w:cs="Arial"/>
          <w:sz w:val="22"/>
        </w:rPr>
        <w:t>Trustee</w:t>
      </w:r>
      <w:r w:rsidRPr="00A16028">
        <w:rPr>
          <w:rFonts w:ascii="Arial" w:hAnsi="Arial" w:cs="Arial"/>
          <w:sz w:val="22"/>
        </w:rPr>
        <w:t xml:space="preserve"> consid</w:t>
      </w:r>
      <w:r w:rsidR="0030111B" w:rsidRPr="00A16028">
        <w:rPr>
          <w:rFonts w:ascii="Arial" w:hAnsi="Arial" w:cs="Arial"/>
          <w:sz w:val="22"/>
        </w:rPr>
        <w:t>er</w:t>
      </w:r>
      <w:r w:rsidR="00967065" w:rsidRPr="00A16028">
        <w:rPr>
          <w:rFonts w:ascii="Arial" w:hAnsi="Arial" w:cs="Arial"/>
          <w:sz w:val="22"/>
        </w:rPr>
        <w:t>s</w:t>
      </w:r>
      <w:r w:rsidRPr="00A16028">
        <w:rPr>
          <w:rFonts w:ascii="Arial" w:hAnsi="Arial" w:cs="Arial"/>
          <w:sz w:val="22"/>
        </w:rPr>
        <w:t xml:space="preserve"> a revi</w:t>
      </w:r>
      <w:r w:rsidR="004E25C3" w:rsidRPr="00A16028">
        <w:rPr>
          <w:rFonts w:ascii="Arial" w:hAnsi="Arial" w:cs="Arial"/>
          <w:sz w:val="22"/>
        </w:rPr>
        <w:t>ew is needed for other reasons.</w:t>
      </w:r>
    </w:p>
    <w:p w14:paraId="4FFFD793" w14:textId="1768F080" w:rsidR="00415120" w:rsidRPr="00A16028" w:rsidRDefault="00265F3E" w:rsidP="005B6817">
      <w:pPr>
        <w:pStyle w:val="Heading2"/>
        <w:numPr>
          <w:ilvl w:val="0"/>
          <w:numId w:val="8"/>
        </w:numPr>
        <w:rPr>
          <w:rFonts w:ascii="Arial" w:hAnsi="Arial" w:cs="Arial"/>
          <w:sz w:val="22"/>
        </w:rPr>
      </w:pPr>
      <w:r w:rsidRPr="00A16028">
        <w:rPr>
          <w:rFonts w:ascii="Arial" w:hAnsi="Arial" w:cs="Arial"/>
          <w:sz w:val="22"/>
        </w:rPr>
        <w:t xml:space="preserve">The purpose of this Statement is to document those investment principles, guidelines and procedures that are appropriate for the </w:t>
      </w:r>
      <w:r w:rsidR="007F76A5">
        <w:rPr>
          <w:rFonts w:ascii="Arial" w:hAnsi="Arial" w:cs="Arial"/>
          <w:sz w:val="22"/>
        </w:rPr>
        <w:t>Plan</w:t>
      </w:r>
      <w:r w:rsidRPr="00A16028">
        <w:rPr>
          <w:rFonts w:ascii="Arial" w:hAnsi="Arial" w:cs="Arial"/>
          <w:sz w:val="22"/>
        </w:rPr>
        <w:t xml:space="preserve">, in accordance with the Trustee's investment powers and permitted investments under the </w:t>
      </w:r>
      <w:r w:rsidR="007F76A5">
        <w:rPr>
          <w:rFonts w:ascii="Arial" w:hAnsi="Arial" w:cs="Arial"/>
          <w:sz w:val="22"/>
        </w:rPr>
        <w:t>Plan</w:t>
      </w:r>
      <w:r w:rsidRPr="00A16028">
        <w:rPr>
          <w:rFonts w:ascii="Arial" w:hAnsi="Arial" w:cs="Arial"/>
          <w:sz w:val="22"/>
        </w:rPr>
        <w:t>'s Trust Deed and Rules.</w:t>
      </w:r>
      <w:r w:rsidR="006B15BE" w:rsidRPr="00A16028">
        <w:rPr>
          <w:rFonts w:ascii="Arial" w:hAnsi="Arial" w:cs="Arial"/>
          <w:sz w:val="22"/>
        </w:rPr>
        <w:t xml:space="preserve"> The Trustee is responsible for all aspects of the operation of the </w:t>
      </w:r>
      <w:r w:rsidR="007F76A5">
        <w:rPr>
          <w:rFonts w:ascii="Arial" w:hAnsi="Arial" w:cs="Arial"/>
          <w:sz w:val="22"/>
        </w:rPr>
        <w:t>Plan</w:t>
      </w:r>
      <w:r w:rsidR="007F76A5" w:rsidRPr="00A16028">
        <w:rPr>
          <w:rFonts w:ascii="Arial" w:hAnsi="Arial" w:cs="Arial"/>
          <w:sz w:val="22"/>
        </w:rPr>
        <w:t xml:space="preserve"> </w:t>
      </w:r>
      <w:r w:rsidR="006B15BE" w:rsidRPr="00A16028">
        <w:rPr>
          <w:rFonts w:ascii="Arial" w:hAnsi="Arial" w:cs="Arial"/>
          <w:sz w:val="22"/>
        </w:rPr>
        <w:t>including this Statement.</w:t>
      </w:r>
      <w:r w:rsidR="00415120" w:rsidRPr="00A16028">
        <w:rPr>
          <w:rFonts w:ascii="Arial" w:hAnsi="Arial" w:cs="Arial"/>
          <w:sz w:val="22"/>
        </w:rPr>
        <w:tab/>
      </w:r>
    </w:p>
    <w:p w14:paraId="4FFFD794" w14:textId="77777777" w:rsidR="00415120" w:rsidRPr="00A16028" w:rsidRDefault="00415120" w:rsidP="00165126">
      <w:pPr>
        <w:pStyle w:val="Subtitle"/>
        <w:tabs>
          <w:tab w:val="clear" w:pos="907"/>
          <w:tab w:val="left" w:pos="851"/>
        </w:tabs>
        <w:rPr>
          <w:rFonts w:ascii="Arial" w:hAnsi="Arial" w:cs="Arial"/>
          <w:sz w:val="22"/>
        </w:rPr>
      </w:pPr>
      <w:r w:rsidRPr="00A16028">
        <w:rPr>
          <w:rFonts w:ascii="Arial" w:hAnsi="Arial" w:cs="Arial"/>
          <w:sz w:val="22"/>
        </w:rPr>
        <w:tab/>
        <w:t>Financial Services and Markets Act 2000</w:t>
      </w:r>
    </w:p>
    <w:p w14:paraId="4FFFD795" w14:textId="1FE345E7" w:rsidR="00415120" w:rsidRPr="00A16028" w:rsidRDefault="00415120" w:rsidP="005B6817">
      <w:pPr>
        <w:pStyle w:val="Heading2"/>
        <w:numPr>
          <w:ilvl w:val="0"/>
          <w:numId w:val="8"/>
        </w:numPr>
        <w:rPr>
          <w:rFonts w:ascii="Arial" w:hAnsi="Arial" w:cs="Arial"/>
          <w:sz w:val="22"/>
        </w:rPr>
      </w:pPr>
      <w:r w:rsidRPr="00A16028">
        <w:rPr>
          <w:rFonts w:ascii="Arial" w:hAnsi="Arial" w:cs="Arial"/>
          <w:sz w:val="22"/>
        </w:rPr>
        <w:t xml:space="preserve">In accordance with the Financial Services and Markets Act 2000, the </w:t>
      </w:r>
      <w:r w:rsidR="00A635A5" w:rsidRPr="00A16028">
        <w:rPr>
          <w:rFonts w:ascii="Arial" w:hAnsi="Arial" w:cs="Arial"/>
          <w:sz w:val="22"/>
        </w:rPr>
        <w:t>Trustee</w:t>
      </w:r>
      <w:r w:rsidRPr="00A16028">
        <w:rPr>
          <w:rFonts w:ascii="Arial" w:hAnsi="Arial" w:cs="Arial"/>
          <w:sz w:val="22"/>
        </w:rPr>
        <w:t xml:space="preserve"> will set</w:t>
      </w:r>
      <w:r w:rsidR="00EA7C62">
        <w:rPr>
          <w:rFonts w:ascii="Arial" w:hAnsi="Arial" w:cs="Arial"/>
          <w:sz w:val="22"/>
        </w:rPr>
        <w:t xml:space="preserve"> </w:t>
      </w:r>
      <w:r w:rsidR="0052407D">
        <w:rPr>
          <w:rFonts w:ascii="Arial" w:hAnsi="Arial" w:cs="Arial"/>
          <w:sz w:val="22"/>
        </w:rPr>
        <w:t xml:space="preserve">the </w:t>
      </w:r>
      <w:r w:rsidR="0052407D" w:rsidRPr="00A16028">
        <w:rPr>
          <w:rFonts w:ascii="Arial" w:hAnsi="Arial" w:cs="Arial"/>
          <w:sz w:val="22"/>
        </w:rPr>
        <w:t>general</w:t>
      </w:r>
      <w:r w:rsidRPr="00A16028">
        <w:rPr>
          <w:rFonts w:ascii="Arial" w:hAnsi="Arial" w:cs="Arial"/>
          <w:sz w:val="22"/>
        </w:rPr>
        <w:t xml:space="preserve"> investment policy, but will delegate the responsibility for selection of specific investments to the appointed investment managers which may include an insurance company or companies.  The investment managers shall provide the skill and expertise necessary to manage the investments of the </w:t>
      </w:r>
      <w:r w:rsidR="007F76A5">
        <w:rPr>
          <w:rFonts w:ascii="Arial" w:hAnsi="Arial" w:cs="Arial"/>
          <w:sz w:val="22"/>
        </w:rPr>
        <w:t>Plan</w:t>
      </w:r>
      <w:r w:rsidR="007F76A5" w:rsidRPr="00A16028">
        <w:rPr>
          <w:rFonts w:ascii="Arial" w:hAnsi="Arial" w:cs="Arial"/>
          <w:sz w:val="22"/>
        </w:rPr>
        <w:t xml:space="preserve"> </w:t>
      </w:r>
      <w:r w:rsidRPr="00A16028">
        <w:rPr>
          <w:rFonts w:ascii="Arial" w:hAnsi="Arial" w:cs="Arial"/>
          <w:sz w:val="22"/>
        </w:rPr>
        <w:t>competently.</w:t>
      </w:r>
    </w:p>
    <w:p w14:paraId="4FFFD796" w14:textId="77777777" w:rsidR="00195062" w:rsidRPr="00A16028" w:rsidRDefault="00195062">
      <w:pPr>
        <w:pStyle w:val="BodyText"/>
        <w:rPr>
          <w:rFonts w:ascii="Arial" w:hAnsi="Arial" w:cs="Arial"/>
          <w:sz w:val="22"/>
          <w:highlight w:val="yellow"/>
        </w:rPr>
      </w:pPr>
    </w:p>
    <w:p w14:paraId="4FFFD797" w14:textId="77777777" w:rsidR="00195062" w:rsidRPr="0065296C" w:rsidRDefault="00195062" w:rsidP="0065296C">
      <w:pPr>
        <w:pStyle w:val="Heading1"/>
        <w:framePr w:wrap="around"/>
        <w:numPr>
          <w:ilvl w:val="0"/>
          <w:numId w:val="0"/>
        </w:numPr>
        <w:ind w:left="360"/>
        <w:jc w:val="both"/>
      </w:pPr>
    </w:p>
    <w:p w14:paraId="4FFFD798" w14:textId="77777777" w:rsidR="00195062" w:rsidRPr="00D77860" w:rsidRDefault="00195062" w:rsidP="00834A2C">
      <w:pPr>
        <w:pStyle w:val="SectionTitle"/>
        <w:framePr w:wrap="around"/>
        <w:spacing w:line="400" w:lineRule="exact"/>
        <w:rPr>
          <w:rFonts w:ascii="Arial" w:hAnsi="Arial" w:cs="Arial"/>
        </w:rPr>
      </w:pPr>
      <w:r w:rsidRPr="00D77860">
        <w:rPr>
          <w:rFonts w:ascii="Arial" w:hAnsi="Arial" w:cs="Arial"/>
        </w:rPr>
        <w:t>Division of responsibilities</w:t>
      </w:r>
    </w:p>
    <w:p w14:paraId="4FFFD799" w14:textId="6CFD73ED" w:rsidR="006C5151" w:rsidRPr="00A16028" w:rsidRDefault="00C76C48" w:rsidP="00DB5BDF">
      <w:pPr>
        <w:pStyle w:val="Heading2"/>
        <w:rPr>
          <w:rFonts w:ascii="Arial" w:hAnsi="Arial" w:cs="Arial"/>
          <w:sz w:val="22"/>
        </w:rPr>
      </w:pPr>
      <w:r w:rsidRPr="00A16028">
        <w:rPr>
          <w:rFonts w:ascii="Arial" w:hAnsi="Arial" w:cs="Arial"/>
          <w:sz w:val="22"/>
        </w:rPr>
        <w:t xml:space="preserve">The </w:t>
      </w:r>
      <w:r w:rsidR="00A635A5" w:rsidRPr="00A16028">
        <w:rPr>
          <w:rFonts w:ascii="Arial" w:hAnsi="Arial" w:cs="Arial"/>
          <w:sz w:val="22"/>
        </w:rPr>
        <w:t>Trustee</w:t>
      </w:r>
      <w:r w:rsidR="00415120" w:rsidRPr="00A16028">
        <w:rPr>
          <w:rFonts w:ascii="Arial" w:hAnsi="Arial" w:cs="Arial"/>
          <w:sz w:val="22"/>
        </w:rPr>
        <w:t xml:space="preserve"> </w:t>
      </w:r>
      <w:r w:rsidR="00A635A5" w:rsidRPr="00A16028">
        <w:rPr>
          <w:rFonts w:ascii="Arial" w:hAnsi="Arial" w:cs="Arial"/>
          <w:sz w:val="22"/>
        </w:rPr>
        <w:t>has</w:t>
      </w:r>
      <w:r w:rsidRPr="00A16028">
        <w:rPr>
          <w:rFonts w:ascii="Arial" w:hAnsi="Arial" w:cs="Arial"/>
          <w:sz w:val="22"/>
        </w:rPr>
        <w:t xml:space="preserve"> put in place the following division of responsibilities for the efficient management of the </w:t>
      </w:r>
      <w:r w:rsidR="007F76A5">
        <w:rPr>
          <w:rFonts w:ascii="Arial" w:hAnsi="Arial" w:cs="Arial"/>
          <w:sz w:val="22"/>
        </w:rPr>
        <w:t>Plan</w:t>
      </w:r>
      <w:r w:rsidR="007F76A5" w:rsidRPr="00A16028">
        <w:rPr>
          <w:rFonts w:ascii="Arial" w:hAnsi="Arial" w:cs="Arial"/>
          <w:sz w:val="22"/>
        </w:rPr>
        <w:t xml:space="preserve">’s </w:t>
      </w:r>
      <w:r w:rsidRPr="00A16028">
        <w:rPr>
          <w:rFonts w:ascii="Arial" w:hAnsi="Arial" w:cs="Arial"/>
          <w:sz w:val="22"/>
        </w:rPr>
        <w:t>investment arrangements:</w:t>
      </w:r>
    </w:p>
    <w:p w14:paraId="4FFFD79A" w14:textId="03B1FB47" w:rsidR="006C5151" w:rsidRPr="00A16028" w:rsidRDefault="00A635A5" w:rsidP="00A16028">
      <w:pPr>
        <w:pStyle w:val="Subtitle"/>
        <w:ind w:left="792"/>
        <w:rPr>
          <w:rFonts w:ascii="Arial" w:hAnsi="Arial" w:cs="Arial"/>
          <w:sz w:val="22"/>
        </w:rPr>
      </w:pPr>
      <w:r w:rsidRPr="00A16028">
        <w:rPr>
          <w:rFonts w:ascii="Arial" w:hAnsi="Arial" w:cs="Arial"/>
          <w:sz w:val="22"/>
        </w:rPr>
        <w:t>Trustee</w:t>
      </w:r>
    </w:p>
    <w:p w14:paraId="4FFFD79B" w14:textId="77777777" w:rsidR="00195062" w:rsidRPr="00A16028" w:rsidRDefault="00195062" w:rsidP="00DB5BDF">
      <w:pPr>
        <w:pStyle w:val="Heading2"/>
        <w:rPr>
          <w:rFonts w:ascii="Arial" w:hAnsi="Arial" w:cs="Arial"/>
          <w:sz w:val="22"/>
        </w:rPr>
      </w:pPr>
      <w:r w:rsidRPr="00A16028">
        <w:rPr>
          <w:rFonts w:ascii="Arial" w:hAnsi="Arial" w:cs="Arial"/>
          <w:sz w:val="22"/>
        </w:rPr>
        <w:t xml:space="preserve">The </w:t>
      </w:r>
      <w:r w:rsidR="00A635A5" w:rsidRPr="00A16028">
        <w:rPr>
          <w:rFonts w:ascii="Arial" w:hAnsi="Arial" w:cs="Arial"/>
          <w:sz w:val="22"/>
        </w:rPr>
        <w:t>Trustee</w:t>
      </w:r>
      <w:r w:rsidR="00DB5BDF" w:rsidRPr="00A16028">
        <w:rPr>
          <w:rFonts w:ascii="Arial" w:hAnsi="Arial" w:cs="Arial"/>
          <w:sz w:val="22"/>
        </w:rPr>
        <w:t>’</w:t>
      </w:r>
      <w:r w:rsidR="00967065" w:rsidRPr="00A16028">
        <w:rPr>
          <w:rFonts w:ascii="Arial" w:hAnsi="Arial" w:cs="Arial"/>
          <w:sz w:val="22"/>
        </w:rPr>
        <w:t>s</w:t>
      </w:r>
      <w:r w:rsidR="00DB5BDF" w:rsidRPr="00A16028">
        <w:rPr>
          <w:rFonts w:ascii="Arial" w:hAnsi="Arial" w:cs="Arial"/>
          <w:sz w:val="22"/>
        </w:rPr>
        <w:t xml:space="preserve"> core investment responsibilities are</w:t>
      </w:r>
      <w:r w:rsidRPr="00A16028">
        <w:rPr>
          <w:rFonts w:ascii="Arial" w:hAnsi="Arial" w:cs="Arial"/>
          <w:sz w:val="22"/>
        </w:rPr>
        <w:t>:</w:t>
      </w:r>
    </w:p>
    <w:p w14:paraId="4FFFD79C" w14:textId="20FB422D" w:rsidR="003C486E" w:rsidRPr="00A16028" w:rsidRDefault="003C486E" w:rsidP="005B6817">
      <w:pPr>
        <w:pStyle w:val="Heading5"/>
        <w:numPr>
          <w:ilvl w:val="4"/>
          <w:numId w:val="11"/>
        </w:numPr>
        <w:tabs>
          <w:tab w:val="clear" w:pos="9185"/>
        </w:tabs>
        <w:ind w:left="851"/>
        <w:rPr>
          <w:rFonts w:ascii="Arial" w:hAnsi="Arial" w:cs="Arial"/>
          <w:sz w:val="22"/>
        </w:rPr>
      </w:pPr>
      <w:r w:rsidRPr="00A16028">
        <w:rPr>
          <w:rFonts w:ascii="Arial" w:hAnsi="Arial" w:cs="Arial"/>
          <w:sz w:val="22"/>
        </w:rPr>
        <w:t>Reviewing the content of this Statement of Investment Principles and modifying it if deemed appropriate at least every three years or without delay after any significant change in investment policy.</w:t>
      </w:r>
      <w:r w:rsidR="00737B08">
        <w:rPr>
          <w:rFonts w:ascii="Arial" w:hAnsi="Arial" w:cs="Arial"/>
          <w:sz w:val="22"/>
        </w:rPr>
        <w:t xml:space="preserve"> </w:t>
      </w:r>
    </w:p>
    <w:p w14:paraId="4FFFD7A1" w14:textId="77777777" w:rsidR="00BE29AF" w:rsidRPr="00A16028" w:rsidRDefault="00DB5BDF" w:rsidP="005B6817">
      <w:pPr>
        <w:pStyle w:val="Heading5"/>
        <w:numPr>
          <w:ilvl w:val="4"/>
          <w:numId w:val="11"/>
        </w:numPr>
        <w:tabs>
          <w:tab w:val="clear" w:pos="9185"/>
        </w:tabs>
        <w:ind w:left="851"/>
        <w:rPr>
          <w:rFonts w:ascii="Arial" w:hAnsi="Arial" w:cs="Arial"/>
          <w:sz w:val="22"/>
        </w:rPr>
      </w:pPr>
      <w:r w:rsidRPr="00A16028">
        <w:rPr>
          <w:rFonts w:ascii="Arial" w:hAnsi="Arial" w:cs="Arial"/>
          <w:sz w:val="22"/>
        </w:rPr>
        <w:t xml:space="preserve">Reviewing the </w:t>
      </w:r>
      <w:r w:rsidR="00BE29AF" w:rsidRPr="00A16028">
        <w:rPr>
          <w:rFonts w:ascii="Arial" w:hAnsi="Arial" w:cs="Arial"/>
          <w:sz w:val="22"/>
        </w:rPr>
        <w:t>quarterly monitoring reports from the Investment Consultant</w:t>
      </w:r>
    </w:p>
    <w:p w14:paraId="4FFFD7A3" w14:textId="78ACAF65" w:rsidR="003C486E" w:rsidRPr="00A16028" w:rsidRDefault="008E6CE6" w:rsidP="005B6817">
      <w:pPr>
        <w:pStyle w:val="Heading5"/>
        <w:numPr>
          <w:ilvl w:val="4"/>
          <w:numId w:val="11"/>
        </w:numPr>
        <w:tabs>
          <w:tab w:val="clear" w:pos="9185"/>
        </w:tabs>
        <w:ind w:left="851"/>
        <w:rPr>
          <w:rFonts w:ascii="Arial" w:hAnsi="Arial" w:cs="Arial"/>
          <w:sz w:val="22"/>
        </w:rPr>
      </w:pPr>
      <w:r w:rsidRPr="00A16028">
        <w:rPr>
          <w:rFonts w:ascii="Arial" w:hAnsi="Arial" w:cs="Arial"/>
          <w:sz w:val="22"/>
        </w:rPr>
        <w:t>Monitoring, s</w:t>
      </w:r>
      <w:r w:rsidR="003C486E" w:rsidRPr="00A16028">
        <w:rPr>
          <w:rFonts w:ascii="Arial" w:hAnsi="Arial" w:cs="Arial"/>
          <w:sz w:val="22"/>
        </w:rPr>
        <w:t>electing and deselecting Investment Managers</w:t>
      </w:r>
    </w:p>
    <w:p w14:paraId="4FFFD7A4" w14:textId="77777777" w:rsidR="003C486E" w:rsidRPr="00A16028" w:rsidRDefault="003C486E" w:rsidP="005B6817">
      <w:pPr>
        <w:pStyle w:val="Heading5"/>
        <w:numPr>
          <w:ilvl w:val="4"/>
          <w:numId w:val="11"/>
        </w:numPr>
        <w:tabs>
          <w:tab w:val="clear" w:pos="9185"/>
        </w:tabs>
        <w:ind w:left="851" w:hanging="397"/>
        <w:rPr>
          <w:rFonts w:ascii="Arial" w:hAnsi="Arial" w:cs="Arial"/>
          <w:sz w:val="22"/>
        </w:rPr>
      </w:pPr>
      <w:r w:rsidRPr="00A16028">
        <w:rPr>
          <w:rFonts w:ascii="Arial" w:hAnsi="Arial" w:cs="Arial"/>
          <w:sz w:val="22"/>
        </w:rPr>
        <w:t>Monitoring the exercise of the investment powers delegated to Investment Managers and compliance with the requirements of Section 36 of the Pensions Act in respect of diversification and suitability</w:t>
      </w:r>
    </w:p>
    <w:p w14:paraId="0908DC48" w14:textId="77777777" w:rsidR="00CB14BF" w:rsidRDefault="00CB14BF" w:rsidP="00A16028">
      <w:pPr>
        <w:pStyle w:val="Subtitle"/>
        <w:ind w:left="792"/>
        <w:rPr>
          <w:rFonts w:ascii="Arial" w:hAnsi="Arial" w:cs="Arial"/>
          <w:sz w:val="22"/>
        </w:rPr>
      </w:pPr>
    </w:p>
    <w:p w14:paraId="4FFFD7B6" w14:textId="182DBAA6" w:rsidR="00195062" w:rsidRPr="00A16028" w:rsidRDefault="00195062" w:rsidP="00A16028">
      <w:pPr>
        <w:pStyle w:val="Subtitle"/>
        <w:ind w:left="792"/>
        <w:rPr>
          <w:rFonts w:ascii="Arial" w:hAnsi="Arial" w:cs="Arial"/>
          <w:sz w:val="22"/>
        </w:rPr>
      </w:pPr>
      <w:r w:rsidRPr="00A16028">
        <w:rPr>
          <w:rFonts w:ascii="Arial" w:hAnsi="Arial" w:cs="Arial"/>
          <w:sz w:val="22"/>
        </w:rPr>
        <w:t xml:space="preserve">Investment </w:t>
      </w:r>
      <w:r w:rsidR="00E63F1F" w:rsidRPr="00A16028">
        <w:rPr>
          <w:rFonts w:ascii="Arial" w:hAnsi="Arial" w:cs="Arial"/>
          <w:sz w:val="22"/>
        </w:rPr>
        <w:t>Consultant</w:t>
      </w:r>
    </w:p>
    <w:p w14:paraId="4FFFD7C9" w14:textId="623E9C4E" w:rsidR="007F6DCC" w:rsidRDefault="00F87646" w:rsidP="00326A41">
      <w:pPr>
        <w:pStyle w:val="Heading2"/>
        <w:rPr>
          <w:rFonts w:ascii="Arial" w:hAnsi="Arial" w:cs="Arial"/>
          <w:sz w:val="22"/>
        </w:rPr>
      </w:pPr>
      <w:r w:rsidRPr="00A16028">
        <w:rPr>
          <w:rFonts w:ascii="Arial" w:hAnsi="Arial" w:cs="Arial"/>
          <w:sz w:val="22"/>
        </w:rPr>
        <w:t>T</w:t>
      </w:r>
      <w:r w:rsidR="007F6DCC" w:rsidRPr="00A16028">
        <w:rPr>
          <w:rFonts w:ascii="Arial" w:hAnsi="Arial" w:cs="Arial"/>
          <w:sz w:val="22"/>
        </w:rPr>
        <w:t>he Investment Consultant</w:t>
      </w:r>
      <w:r w:rsidR="004F6AC5" w:rsidRPr="00A16028">
        <w:rPr>
          <w:rFonts w:ascii="Arial" w:hAnsi="Arial" w:cs="Arial"/>
          <w:sz w:val="22"/>
        </w:rPr>
        <w:t xml:space="preserve">’s core responsibilities are as follows:  </w:t>
      </w:r>
    </w:p>
    <w:p w14:paraId="11BBD433" w14:textId="7CB55F94" w:rsidR="0005417B" w:rsidRPr="00A16028" w:rsidRDefault="0005417B" w:rsidP="005B6817">
      <w:pPr>
        <w:pStyle w:val="Heading5"/>
        <w:numPr>
          <w:ilvl w:val="4"/>
          <w:numId w:val="13"/>
        </w:numPr>
        <w:tabs>
          <w:tab w:val="clear" w:pos="9185"/>
        </w:tabs>
        <w:ind w:hanging="807"/>
        <w:rPr>
          <w:rFonts w:ascii="Arial" w:hAnsi="Arial" w:cs="Arial"/>
          <w:sz w:val="22"/>
        </w:rPr>
      </w:pPr>
      <w:r w:rsidRPr="00A16028">
        <w:rPr>
          <w:rFonts w:ascii="Arial" w:hAnsi="Arial" w:cs="Arial"/>
          <w:sz w:val="22"/>
        </w:rPr>
        <w:t>Making recommendations to the Trustee on:</w:t>
      </w:r>
    </w:p>
    <w:p w14:paraId="6DC8533C" w14:textId="77777777" w:rsidR="0005417B" w:rsidRPr="00A16028" w:rsidRDefault="0005417B" w:rsidP="005B6817">
      <w:pPr>
        <w:pStyle w:val="Heading5"/>
        <w:numPr>
          <w:ilvl w:val="5"/>
          <w:numId w:val="13"/>
        </w:numPr>
        <w:tabs>
          <w:tab w:val="clear" w:pos="9185"/>
        </w:tabs>
        <w:ind w:left="2835" w:hanging="807"/>
        <w:rPr>
          <w:rFonts w:ascii="Arial" w:hAnsi="Arial" w:cs="Arial"/>
          <w:sz w:val="22"/>
        </w:rPr>
      </w:pPr>
      <w:r w:rsidRPr="00A16028">
        <w:rPr>
          <w:rFonts w:ascii="Arial" w:hAnsi="Arial" w:cs="Arial"/>
          <w:sz w:val="22"/>
        </w:rPr>
        <w:t>The Statement of Investment Principles</w:t>
      </w:r>
    </w:p>
    <w:p w14:paraId="392E132B" w14:textId="77777777" w:rsidR="0005417B" w:rsidRPr="00A16028" w:rsidRDefault="0005417B" w:rsidP="005B6817">
      <w:pPr>
        <w:pStyle w:val="Heading5"/>
        <w:numPr>
          <w:ilvl w:val="5"/>
          <w:numId w:val="13"/>
        </w:numPr>
        <w:tabs>
          <w:tab w:val="clear" w:pos="9185"/>
        </w:tabs>
        <w:ind w:left="2835" w:hanging="807"/>
        <w:rPr>
          <w:rFonts w:ascii="Arial" w:hAnsi="Arial" w:cs="Arial"/>
          <w:sz w:val="22"/>
        </w:rPr>
      </w:pPr>
      <w:r w:rsidRPr="00A16028">
        <w:rPr>
          <w:rFonts w:ascii="Arial" w:hAnsi="Arial" w:cs="Arial"/>
          <w:sz w:val="22"/>
        </w:rPr>
        <w:t>The DC investment strategy and range of investment funds</w:t>
      </w:r>
    </w:p>
    <w:p w14:paraId="37A22187" w14:textId="77777777" w:rsidR="0005417B" w:rsidRPr="00A16028" w:rsidRDefault="0005417B" w:rsidP="005B6817">
      <w:pPr>
        <w:pStyle w:val="Heading5"/>
        <w:numPr>
          <w:ilvl w:val="5"/>
          <w:numId w:val="13"/>
        </w:numPr>
        <w:tabs>
          <w:tab w:val="clear" w:pos="9185"/>
        </w:tabs>
        <w:ind w:left="2835" w:hanging="807"/>
        <w:rPr>
          <w:rFonts w:ascii="Arial" w:hAnsi="Arial" w:cs="Arial"/>
          <w:sz w:val="22"/>
        </w:rPr>
      </w:pPr>
      <w:r w:rsidRPr="00A16028">
        <w:rPr>
          <w:rFonts w:ascii="Arial" w:hAnsi="Arial" w:cs="Arial"/>
          <w:sz w:val="22"/>
        </w:rPr>
        <w:t>The selection and deselection of Investment Managers</w:t>
      </w:r>
    </w:p>
    <w:p w14:paraId="61ED07C4" w14:textId="77777777" w:rsidR="0005417B" w:rsidRPr="00A16028" w:rsidRDefault="0005417B" w:rsidP="005B6817">
      <w:pPr>
        <w:pStyle w:val="Heading5"/>
        <w:numPr>
          <w:ilvl w:val="4"/>
          <w:numId w:val="13"/>
        </w:numPr>
        <w:tabs>
          <w:tab w:val="clear" w:pos="9185"/>
        </w:tabs>
        <w:ind w:hanging="807"/>
        <w:rPr>
          <w:rFonts w:ascii="Arial" w:hAnsi="Arial" w:cs="Arial"/>
          <w:sz w:val="22"/>
        </w:rPr>
      </w:pPr>
      <w:r w:rsidRPr="00A16028">
        <w:rPr>
          <w:rFonts w:ascii="Arial" w:hAnsi="Arial" w:cs="Arial"/>
          <w:sz w:val="22"/>
        </w:rPr>
        <w:t xml:space="preserve">Monitoring the </w:t>
      </w:r>
      <w:r>
        <w:rPr>
          <w:rFonts w:ascii="Arial" w:hAnsi="Arial" w:cs="Arial"/>
          <w:sz w:val="22"/>
        </w:rPr>
        <w:t>Plan</w:t>
      </w:r>
      <w:r w:rsidRPr="00A16028">
        <w:rPr>
          <w:rFonts w:ascii="Arial" w:hAnsi="Arial" w:cs="Arial"/>
          <w:sz w:val="22"/>
        </w:rPr>
        <w:t>’s investment arrangements</w:t>
      </w:r>
    </w:p>
    <w:p w14:paraId="5D4FCE3B" w14:textId="0EB5D346" w:rsidR="0005417B" w:rsidRPr="00A16028" w:rsidRDefault="0005417B" w:rsidP="005B6817">
      <w:pPr>
        <w:pStyle w:val="Heading5"/>
        <w:numPr>
          <w:ilvl w:val="5"/>
          <w:numId w:val="13"/>
        </w:numPr>
        <w:tabs>
          <w:tab w:val="clear" w:pos="9185"/>
        </w:tabs>
        <w:ind w:left="2835" w:hanging="807"/>
        <w:rPr>
          <w:rFonts w:ascii="Arial" w:hAnsi="Arial" w:cs="Arial"/>
          <w:sz w:val="22"/>
        </w:rPr>
      </w:pPr>
      <w:r w:rsidRPr="00A16028">
        <w:rPr>
          <w:rFonts w:ascii="Arial" w:hAnsi="Arial" w:cs="Arial"/>
          <w:sz w:val="22"/>
        </w:rPr>
        <w:t>Performance against key objectives</w:t>
      </w:r>
    </w:p>
    <w:p w14:paraId="59A79A14" w14:textId="77777777" w:rsidR="0005417B" w:rsidRPr="00A16028" w:rsidRDefault="0005417B" w:rsidP="005B6817">
      <w:pPr>
        <w:pStyle w:val="Heading5"/>
        <w:numPr>
          <w:ilvl w:val="5"/>
          <w:numId w:val="13"/>
        </w:numPr>
        <w:tabs>
          <w:tab w:val="clear" w:pos="9185"/>
        </w:tabs>
        <w:ind w:left="2835" w:hanging="807"/>
        <w:rPr>
          <w:rFonts w:ascii="Arial" w:hAnsi="Arial" w:cs="Arial"/>
          <w:sz w:val="22"/>
        </w:rPr>
      </w:pPr>
      <w:r w:rsidRPr="00A16028">
        <w:rPr>
          <w:rFonts w:ascii="Arial" w:hAnsi="Arial" w:cs="Arial"/>
          <w:sz w:val="22"/>
        </w:rPr>
        <w:t>Investment manager monitoring</w:t>
      </w:r>
    </w:p>
    <w:p w14:paraId="0DCED9A5" w14:textId="5520B3F7" w:rsidR="0005417B" w:rsidRDefault="0005417B" w:rsidP="005B6817">
      <w:pPr>
        <w:pStyle w:val="Heading5"/>
        <w:numPr>
          <w:ilvl w:val="4"/>
          <w:numId w:val="13"/>
        </w:numPr>
        <w:tabs>
          <w:tab w:val="clear" w:pos="9185"/>
        </w:tabs>
        <w:ind w:hanging="807"/>
        <w:rPr>
          <w:rFonts w:ascii="Arial" w:hAnsi="Arial" w:cs="Arial"/>
          <w:sz w:val="22"/>
        </w:rPr>
      </w:pPr>
      <w:r w:rsidRPr="00A16028">
        <w:rPr>
          <w:rFonts w:ascii="Arial" w:hAnsi="Arial" w:cs="Arial"/>
          <w:sz w:val="22"/>
        </w:rPr>
        <w:t xml:space="preserve">Implementing the </w:t>
      </w:r>
      <w:r>
        <w:rPr>
          <w:rFonts w:ascii="Arial" w:hAnsi="Arial" w:cs="Arial"/>
          <w:sz w:val="22"/>
        </w:rPr>
        <w:t>Plan</w:t>
      </w:r>
      <w:r w:rsidRPr="00A16028">
        <w:rPr>
          <w:rFonts w:ascii="Arial" w:hAnsi="Arial" w:cs="Arial"/>
          <w:sz w:val="22"/>
        </w:rPr>
        <w:t>’s investment strateg</w:t>
      </w:r>
      <w:r>
        <w:rPr>
          <w:rFonts w:ascii="Arial" w:hAnsi="Arial" w:cs="Arial"/>
          <w:sz w:val="22"/>
        </w:rPr>
        <w:t>y</w:t>
      </w:r>
    </w:p>
    <w:p w14:paraId="16E8C986" w14:textId="1604390A" w:rsidR="0005417B" w:rsidRDefault="00595B92" w:rsidP="00326A41">
      <w:pPr>
        <w:pStyle w:val="Heading2"/>
        <w:rPr>
          <w:rFonts w:ascii="Arial" w:hAnsi="Arial" w:cs="Arial"/>
          <w:b/>
          <w:sz w:val="22"/>
        </w:rPr>
      </w:pPr>
      <w:r w:rsidRPr="0065296C">
        <w:rPr>
          <w:rFonts w:ascii="Arial" w:hAnsi="Arial" w:cs="Arial"/>
          <w:b/>
          <w:sz w:val="22"/>
        </w:rPr>
        <w:t>Platform Provider</w:t>
      </w:r>
    </w:p>
    <w:p w14:paraId="3B0CDF6B" w14:textId="6B320316" w:rsidR="00595B92" w:rsidRDefault="00595B92" w:rsidP="0065296C">
      <w:pPr>
        <w:pStyle w:val="Heading2"/>
        <w:numPr>
          <w:ilvl w:val="0"/>
          <w:numId w:val="0"/>
        </w:numPr>
        <w:ind w:left="792"/>
        <w:rPr>
          <w:rFonts w:ascii="Arial" w:hAnsi="Arial" w:cs="Arial"/>
          <w:sz w:val="22"/>
        </w:rPr>
      </w:pPr>
      <w:r>
        <w:rPr>
          <w:rFonts w:ascii="Arial" w:hAnsi="Arial" w:cs="Arial"/>
          <w:sz w:val="22"/>
        </w:rPr>
        <w:t xml:space="preserve">The Trustee </w:t>
      </w:r>
      <w:r w:rsidR="0029719E">
        <w:rPr>
          <w:rFonts w:ascii="Arial" w:hAnsi="Arial" w:cs="Arial"/>
          <w:sz w:val="22"/>
        </w:rPr>
        <w:t>has</w:t>
      </w:r>
      <w:r>
        <w:rPr>
          <w:rFonts w:ascii="Arial" w:hAnsi="Arial" w:cs="Arial"/>
          <w:sz w:val="22"/>
        </w:rPr>
        <w:t xml:space="preserve"> appointed FIL Life Insurance Limited (the </w:t>
      </w:r>
      <w:r w:rsidR="0052407D">
        <w:rPr>
          <w:rFonts w:ascii="Arial" w:hAnsi="Arial" w:cs="Arial"/>
          <w:sz w:val="22"/>
        </w:rPr>
        <w:t>Platform</w:t>
      </w:r>
      <w:r>
        <w:rPr>
          <w:rFonts w:ascii="Arial" w:hAnsi="Arial" w:cs="Arial"/>
          <w:sz w:val="22"/>
        </w:rPr>
        <w:t xml:space="preserve"> Provider) to manage </w:t>
      </w:r>
      <w:proofErr w:type="gramStart"/>
      <w:r>
        <w:rPr>
          <w:rFonts w:ascii="Arial" w:hAnsi="Arial" w:cs="Arial"/>
          <w:sz w:val="22"/>
        </w:rPr>
        <w:t>all of</w:t>
      </w:r>
      <w:proofErr w:type="gramEnd"/>
      <w:r>
        <w:rPr>
          <w:rFonts w:ascii="Arial" w:hAnsi="Arial" w:cs="Arial"/>
          <w:sz w:val="22"/>
        </w:rPr>
        <w:t xml:space="preserve"> the assets of the Plan. All decisions about the day-to-day </w:t>
      </w:r>
      <w:r w:rsidR="0052407D">
        <w:rPr>
          <w:rFonts w:ascii="Arial" w:hAnsi="Arial" w:cs="Arial"/>
          <w:sz w:val="22"/>
        </w:rPr>
        <w:t>management</w:t>
      </w:r>
      <w:r>
        <w:rPr>
          <w:rFonts w:ascii="Arial" w:hAnsi="Arial" w:cs="Arial"/>
          <w:sz w:val="22"/>
        </w:rPr>
        <w:t xml:space="preserve"> of the assets have been delegated to the Platform Provider via a written agreement including the realisation of investments. </w:t>
      </w:r>
      <w:r w:rsidR="00FB095B">
        <w:rPr>
          <w:rFonts w:ascii="Arial" w:hAnsi="Arial" w:cs="Arial"/>
          <w:sz w:val="22"/>
        </w:rPr>
        <w:t xml:space="preserve">Fidelity will receive all contribution payments and pass them to </w:t>
      </w:r>
      <w:proofErr w:type="gramStart"/>
      <w:r w:rsidR="00FB095B">
        <w:rPr>
          <w:rFonts w:ascii="Arial" w:hAnsi="Arial" w:cs="Arial"/>
          <w:sz w:val="22"/>
        </w:rPr>
        <w:t>a number of</w:t>
      </w:r>
      <w:proofErr w:type="gramEnd"/>
      <w:r w:rsidR="00FB095B">
        <w:rPr>
          <w:rFonts w:ascii="Arial" w:hAnsi="Arial" w:cs="Arial"/>
          <w:sz w:val="22"/>
        </w:rPr>
        <w:t xml:space="preserve"> specialist fund managers. Fidelity is regulated under the Financial Services and Markets Act 2000 and authorised in the UK by the </w:t>
      </w:r>
      <w:r w:rsidR="0052407D">
        <w:rPr>
          <w:rFonts w:ascii="Arial" w:hAnsi="Arial" w:cs="Arial"/>
          <w:sz w:val="22"/>
        </w:rPr>
        <w:t>Financial</w:t>
      </w:r>
      <w:r w:rsidR="00FB095B">
        <w:rPr>
          <w:rFonts w:ascii="Arial" w:hAnsi="Arial" w:cs="Arial"/>
          <w:sz w:val="22"/>
        </w:rPr>
        <w:t xml:space="preserve"> </w:t>
      </w:r>
      <w:r w:rsidR="0052407D">
        <w:rPr>
          <w:rFonts w:ascii="Arial" w:hAnsi="Arial" w:cs="Arial"/>
          <w:sz w:val="22"/>
        </w:rPr>
        <w:t>Conduct</w:t>
      </w:r>
      <w:r w:rsidR="00FB095B">
        <w:rPr>
          <w:rFonts w:ascii="Arial" w:hAnsi="Arial" w:cs="Arial"/>
          <w:sz w:val="22"/>
        </w:rPr>
        <w:t xml:space="preserve"> Authority and the Prudential Regulation </w:t>
      </w:r>
      <w:r w:rsidR="0052407D">
        <w:rPr>
          <w:rFonts w:ascii="Arial" w:hAnsi="Arial" w:cs="Arial"/>
          <w:sz w:val="22"/>
        </w:rPr>
        <w:t>Authority</w:t>
      </w:r>
      <w:r w:rsidR="00FB095B">
        <w:rPr>
          <w:rFonts w:ascii="Arial" w:hAnsi="Arial" w:cs="Arial"/>
          <w:sz w:val="22"/>
        </w:rPr>
        <w:t>.</w:t>
      </w:r>
    </w:p>
    <w:p w14:paraId="4FFFD7DB" w14:textId="77777777" w:rsidR="00195062" w:rsidRPr="00D77860" w:rsidRDefault="00195062" w:rsidP="00C22918">
      <w:pPr>
        <w:pStyle w:val="Heading1"/>
        <w:framePr w:wrap="around"/>
        <w:tabs>
          <w:tab w:val="num" w:pos="710"/>
        </w:tabs>
        <w:ind w:firstLine="142"/>
        <w:jc w:val="left"/>
        <w:rPr>
          <w:rFonts w:ascii="Arial" w:hAnsi="Arial" w:cs="Arial"/>
        </w:rPr>
      </w:pPr>
    </w:p>
    <w:p w14:paraId="4FFFD7DC" w14:textId="77777777" w:rsidR="00195062" w:rsidRDefault="00532718" w:rsidP="00834A2C">
      <w:pPr>
        <w:pStyle w:val="SectionTitle"/>
        <w:framePr w:wrap="around"/>
        <w:spacing w:line="400" w:lineRule="exact"/>
        <w:rPr>
          <w:rFonts w:ascii="Arial" w:hAnsi="Arial" w:cs="Arial"/>
        </w:rPr>
      </w:pPr>
      <w:r w:rsidRPr="00D77860">
        <w:rPr>
          <w:rFonts w:ascii="Arial" w:hAnsi="Arial" w:cs="Arial"/>
        </w:rPr>
        <w:t>Stewardship and environmental, social and corporate governance (ESG) issues</w:t>
      </w:r>
    </w:p>
    <w:p w14:paraId="45DAE511" w14:textId="35901788" w:rsidR="00A93F0E" w:rsidRPr="0065296C" w:rsidRDefault="00A93F0E" w:rsidP="0065296C">
      <w:pPr>
        <w:pStyle w:val="Heading2"/>
        <w:numPr>
          <w:ilvl w:val="0"/>
          <w:numId w:val="0"/>
        </w:numPr>
        <w:ind w:left="792"/>
        <w:rPr>
          <w:rFonts w:ascii="Arial" w:hAnsi="Arial" w:cs="Arial"/>
          <w:b/>
          <w:sz w:val="22"/>
        </w:rPr>
      </w:pPr>
      <w:r w:rsidRPr="0065296C">
        <w:rPr>
          <w:rFonts w:ascii="Arial" w:hAnsi="Arial" w:cs="Arial"/>
          <w:b/>
          <w:sz w:val="22"/>
        </w:rPr>
        <w:t>Social</w:t>
      </w:r>
      <w:r w:rsidR="00544B2D">
        <w:rPr>
          <w:rFonts w:ascii="Arial" w:hAnsi="Arial" w:cs="Arial"/>
          <w:b/>
          <w:sz w:val="22"/>
        </w:rPr>
        <w:t>ly</w:t>
      </w:r>
      <w:r w:rsidRPr="0065296C">
        <w:rPr>
          <w:rFonts w:ascii="Arial" w:hAnsi="Arial" w:cs="Arial"/>
          <w:b/>
          <w:sz w:val="22"/>
        </w:rPr>
        <w:t xml:space="preserve"> Responsible Investment </w:t>
      </w:r>
      <w:r w:rsidR="00544B2D">
        <w:rPr>
          <w:rFonts w:ascii="Arial" w:hAnsi="Arial" w:cs="Arial"/>
          <w:b/>
          <w:sz w:val="22"/>
        </w:rPr>
        <w:t>(SRI)</w:t>
      </w:r>
    </w:p>
    <w:p w14:paraId="4FFFD809" w14:textId="621B54B2" w:rsidR="00195062" w:rsidRPr="00EC27C0" w:rsidRDefault="00532718" w:rsidP="00EC27C0">
      <w:pPr>
        <w:pStyle w:val="Heading2"/>
        <w:tabs>
          <w:tab w:val="left" w:pos="1276"/>
        </w:tabs>
        <w:ind w:left="900" w:hanging="900"/>
        <w:rPr>
          <w:rFonts w:ascii="Arial" w:hAnsi="Arial" w:cs="Arial"/>
          <w:sz w:val="22"/>
        </w:rPr>
      </w:pPr>
      <w:r w:rsidRPr="00A16028">
        <w:rPr>
          <w:rFonts w:ascii="Arial" w:hAnsi="Arial" w:cs="Arial"/>
          <w:sz w:val="22"/>
        </w:rPr>
        <w:t xml:space="preserve">The Trustee </w:t>
      </w:r>
      <w:r w:rsidR="00CB14BF">
        <w:rPr>
          <w:rFonts w:ascii="Arial" w:hAnsi="Arial" w:cs="Arial"/>
          <w:sz w:val="22"/>
        </w:rPr>
        <w:t>believe</w:t>
      </w:r>
      <w:r w:rsidR="0029719E">
        <w:rPr>
          <w:rFonts w:ascii="Arial" w:hAnsi="Arial" w:cs="Arial"/>
          <w:sz w:val="22"/>
        </w:rPr>
        <w:t>s</w:t>
      </w:r>
      <w:r w:rsidR="00CB14BF">
        <w:rPr>
          <w:rFonts w:ascii="Arial" w:hAnsi="Arial" w:cs="Arial"/>
          <w:sz w:val="22"/>
        </w:rPr>
        <w:t xml:space="preserve"> their main duty reflected in their investment objective is to protect the financial interests of the Plan’s members. The Trustee believe</w:t>
      </w:r>
      <w:r w:rsidR="0029719E">
        <w:rPr>
          <w:rFonts w:ascii="Arial" w:hAnsi="Arial" w:cs="Arial"/>
          <w:sz w:val="22"/>
        </w:rPr>
        <w:t>s</w:t>
      </w:r>
      <w:r w:rsidR="00CB14BF">
        <w:rPr>
          <w:rFonts w:ascii="Arial" w:hAnsi="Arial" w:cs="Arial"/>
          <w:sz w:val="22"/>
        </w:rPr>
        <w:t xml:space="preserve"> that SRI issues are secondary to this.</w:t>
      </w:r>
      <w:r w:rsidR="00EC27C0" w:rsidRPr="00EC27C0">
        <w:rPr>
          <w:rFonts w:asciiTheme="minorHAnsi" w:eastAsiaTheme="minorEastAsia" w:hAnsi="Arial" w:cstheme="minorBidi"/>
          <w:color w:val="31849B" w:themeColor="accent5" w:themeShade="BF"/>
          <w:kern w:val="24"/>
          <w:sz w:val="22"/>
          <w:szCs w:val="22"/>
          <w:lang w:val="en-US"/>
        </w:rPr>
        <w:t xml:space="preserve"> </w:t>
      </w:r>
      <w:r w:rsidR="00EC27C0" w:rsidRPr="00EC27C0">
        <w:rPr>
          <w:rFonts w:ascii="Arial" w:hAnsi="Arial" w:cs="Arial"/>
          <w:sz w:val="22"/>
          <w:lang w:val="en-US"/>
        </w:rPr>
        <w:t xml:space="preserve">Where an </w:t>
      </w:r>
      <w:r w:rsidR="00EC27C0" w:rsidRPr="00EC27C0">
        <w:rPr>
          <w:rFonts w:ascii="Arial" w:hAnsi="Arial" w:cs="Arial"/>
          <w:sz w:val="22"/>
        </w:rPr>
        <w:t>investment’s financial success may be influenced by a wide range of factors including environmental social and governance (ESG) issues (including climate change) and stewardship, the Trustee’s policy is that this should be delegated to the investment managers as part of the day-to-day investment decisions in exercising their corporate governance policy.</w:t>
      </w:r>
    </w:p>
    <w:p w14:paraId="233F0020" w14:textId="37942324" w:rsidR="00CB14BF" w:rsidRDefault="00CB14BF" w:rsidP="00BD5163">
      <w:pPr>
        <w:pStyle w:val="Heading2"/>
        <w:tabs>
          <w:tab w:val="left" w:pos="1276"/>
        </w:tabs>
        <w:ind w:left="900" w:hanging="900"/>
        <w:rPr>
          <w:rFonts w:ascii="Arial" w:hAnsi="Arial" w:cs="Arial"/>
          <w:sz w:val="22"/>
        </w:rPr>
      </w:pPr>
      <w:r>
        <w:rPr>
          <w:rFonts w:ascii="Arial" w:hAnsi="Arial" w:cs="Arial"/>
          <w:sz w:val="22"/>
        </w:rPr>
        <w:t xml:space="preserve">The Trustee </w:t>
      </w:r>
      <w:r w:rsidR="0029719E">
        <w:rPr>
          <w:rFonts w:ascii="Arial" w:hAnsi="Arial" w:cs="Arial"/>
          <w:sz w:val="22"/>
        </w:rPr>
        <w:t>has</w:t>
      </w:r>
      <w:r>
        <w:rPr>
          <w:rFonts w:ascii="Arial" w:hAnsi="Arial" w:cs="Arial"/>
          <w:sz w:val="22"/>
        </w:rPr>
        <w:t xml:space="preserve"> elected to invest in pooled funds and cannot therefore </w:t>
      </w:r>
      <w:r w:rsidR="0052407D">
        <w:rPr>
          <w:rFonts w:ascii="Arial" w:hAnsi="Arial" w:cs="Arial"/>
          <w:sz w:val="22"/>
        </w:rPr>
        <w:t>directly</w:t>
      </w:r>
      <w:r>
        <w:rPr>
          <w:rFonts w:ascii="Arial" w:hAnsi="Arial" w:cs="Arial"/>
          <w:sz w:val="22"/>
        </w:rPr>
        <w:t xml:space="preserve"> influence the</w:t>
      </w:r>
      <w:r w:rsidR="00EC27C0">
        <w:rPr>
          <w:rFonts w:ascii="Arial" w:hAnsi="Arial" w:cs="Arial"/>
          <w:sz w:val="22"/>
        </w:rPr>
        <w:t xml:space="preserve"> ESG</w:t>
      </w:r>
      <w:r>
        <w:rPr>
          <w:rFonts w:ascii="Arial" w:hAnsi="Arial" w:cs="Arial"/>
          <w:sz w:val="22"/>
        </w:rPr>
        <w:t xml:space="preserve"> </w:t>
      </w:r>
      <w:r w:rsidR="0052407D">
        <w:rPr>
          <w:rFonts w:ascii="Arial" w:hAnsi="Arial" w:cs="Arial"/>
          <w:sz w:val="22"/>
        </w:rPr>
        <w:t>policies</w:t>
      </w:r>
      <w:r>
        <w:rPr>
          <w:rFonts w:ascii="Arial" w:hAnsi="Arial" w:cs="Arial"/>
          <w:sz w:val="22"/>
        </w:rPr>
        <w:t xml:space="preserve"> in which such pooled funds invest.</w:t>
      </w:r>
    </w:p>
    <w:p w14:paraId="5900F2A7" w14:textId="191EB729" w:rsidR="00CB14BF" w:rsidRDefault="00CB14BF" w:rsidP="00BD5163">
      <w:pPr>
        <w:pStyle w:val="Heading2"/>
        <w:tabs>
          <w:tab w:val="left" w:pos="1276"/>
        </w:tabs>
        <w:ind w:left="900" w:hanging="900"/>
        <w:rPr>
          <w:rFonts w:ascii="Arial" w:hAnsi="Arial" w:cs="Arial"/>
          <w:sz w:val="22"/>
        </w:rPr>
      </w:pPr>
      <w:r>
        <w:rPr>
          <w:rFonts w:ascii="Arial" w:hAnsi="Arial" w:cs="Arial"/>
          <w:sz w:val="22"/>
        </w:rPr>
        <w:t xml:space="preserve">Where the pooled funds are managed on </w:t>
      </w:r>
      <w:proofErr w:type="gramStart"/>
      <w:r>
        <w:rPr>
          <w:rFonts w:ascii="Arial" w:hAnsi="Arial" w:cs="Arial"/>
          <w:sz w:val="22"/>
        </w:rPr>
        <w:t>a passive basis decisions</w:t>
      </w:r>
      <w:proofErr w:type="gramEnd"/>
      <w:r>
        <w:rPr>
          <w:rFonts w:ascii="Arial" w:hAnsi="Arial" w:cs="Arial"/>
          <w:sz w:val="22"/>
        </w:rPr>
        <w:t xml:space="preserve"> regarding this selection </w:t>
      </w:r>
      <w:r w:rsidR="0052407D">
        <w:rPr>
          <w:rFonts w:ascii="Arial" w:hAnsi="Arial" w:cs="Arial"/>
          <w:sz w:val="22"/>
        </w:rPr>
        <w:t>retention</w:t>
      </w:r>
      <w:r>
        <w:rPr>
          <w:rFonts w:ascii="Arial" w:hAnsi="Arial" w:cs="Arial"/>
          <w:sz w:val="22"/>
        </w:rPr>
        <w:t xml:space="preserve"> and realisation of the investments are only made in order to ensure efficient tracking of indices and social </w:t>
      </w:r>
      <w:r w:rsidR="0052407D">
        <w:rPr>
          <w:rFonts w:ascii="Arial" w:hAnsi="Arial" w:cs="Arial"/>
          <w:sz w:val="22"/>
        </w:rPr>
        <w:t>environmental</w:t>
      </w:r>
      <w:r>
        <w:rPr>
          <w:rFonts w:ascii="Arial" w:hAnsi="Arial" w:cs="Arial"/>
          <w:sz w:val="22"/>
        </w:rPr>
        <w:t xml:space="preserve"> and ethical considerations are not taken into account.</w:t>
      </w:r>
    </w:p>
    <w:p w14:paraId="38BDCF0A" w14:textId="18FFC1BF" w:rsidR="00CB14BF" w:rsidRDefault="00EC27C0" w:rsidP="00BD5163">
      <w:pPr>
        <w:pStyle w:val="Heading2"/>
        <w:tabs>
          <w:tab w:val="left" w:pos="1276"/>
        </w:tabs>
        <w:ind w:left="900" w:hanging="900"/>
        <w:rPr>
          <w:rFonts w:ascii="Arial" w:hAnsi="Arial" w:cs="Arial"/>
          <w:sz w:val="22"/>
        </w:rPr>
      </w:pPr>
      <w:r>
        <w:rPr>
          <w:rFonts w:ascii="Arial" w:hAnsi="Arial" w:cs="Arial"/>
          <w:sz w:val="22"/>
        </w:rPr>
        <w:t>At present, the Trustee does not explicitly take account of non-financial matters in Plan design or strategy.</w:t>
      </w:r>
    </w:p>
    <w:p w14:paraId="073C29B2" w14:textId="65729196" w:rsidR="00A93F0E" w:rsidRPr="00BD5163" w:rsidRDefault="00BD5163" w:rsidP="00BD5163">
      <w:pPr>
        <w:pStyle w:val="Subtitle"/>
        <w:rPr>
          <w:rFonts w:ascii="Arial" w:hAnsi="Arial" w:cs="Arial"/>
          <w:sz w:val="22"/>
        </w:rPr>
      </w:pPr>
      <w:r>
        <w:rPr>
          <w:rFonts w:ascii="Arial" w:hAnsi="Arial" w:cs="Arial"/>
          <w:sz w:val="22"/>
        </w:rPr>
        <w:tab/>
      </w:r>
      <w:r w:rsidR="00A93F0E" w:rsidRPr="00BD5163">
        <w:rPr>
          <w:rFonts w:ascii="Arial" w:hAnsi="Arial" w:cs="Arial"/>
          <w:sz w:val="22"/>
        </w:rPr>
        <w:t>Corporate Governance</w:t>
      </w:r>
    </w:p>
    <w:p w14:paraId="0599A941" w14:textId="7BBAAC38" w:rsidR="00A93F0E" w:rsidRDefault="00A93F0E" w:rsidP="00BD5163">
      <w:pPr>
        <w:pStyle w:val="Heading2"/>
        <w:tabs>
          <w:tab w:val="left" w:pos="1276"/>
        </w:tabs>
        <w:ind w:left="900" w:hanging="900"/>
        <w:rPr>
          <w:rFonts w:ascii="Arial" w:hAnsi="Arial" w:cs="Arial"/>
          <w:sz w:val="22"/>
        </w:rPr>
      </w:pPr>
      <w:r>
        <w:rPr>
          <w:rFonts w:ascii="Arial" w:hAnsi="Arial" w:cs="Arial"/>
          <w:sz w:val="22"/>
        </w:rPr>
        <w:t>The Trustee wish</w:t>
      </w:r>
      <w:r w:rsidR="0029719E">
        <w:rPr>
          <w:rFonts w:ascii="Arial" w:hAnsi="Arial" w:cs="Arial"/>
          <w:sz w:val="22"/>
        </w:rPr>
        <w:t>es</w:t>
      </w:r>
      <w:r>
        <w:rPr>
          <w:rFonts w:ascii="Arial" w:hAnsi="Arial" w:cs="Arial"/>
          <w:sz w:val="22"/>
        </w:rPr>
        <w:t xml:space="preserve"> to encourage best practice in terms of activism. The Trustee accept</w:t>
      </w:r>
      <w:r w:rsidR="0029719E">
        <w:rPr>
          <w:rFonts w:ascii="Arial" w:hAnsi="Arial" w:cs="Arial"/>
          <w:sz w:val="22"/>
        </w:rPr>
        <w:t>s</w:t>
      </w:r>
      <w:r>
        <w:rPr>
          <w:rFonts w:ascii="Arial" w:hAnsi="Arial" w:cs="Arial"/>
          <w:sz w:val="22"/>
        </w:rPr>
        <w:t xml:space="preserve"> that by using pooled investment vehicles the day-to-day application of voting rights will be carried out by the investment managers. </w:t>
      </w:r>
      <w:proofErr w:type="gramStart"/>
      <w:r>
        <w:rPr>
          <w:rFonts w:ascii="Arial" w:hAnsi="Arial" w:cs="Arial"/>
          <w:sz w:val="22"/>
        </w:rPr>
        <w:t>Consequently</w:t>
      </w:r>
      <w:proofErr w:type="gramEnd"/>
      <w:r>
        <w:rPr>
          <w:rFonts w:ascii="Arial" w:hAnsi="Arial" w:cs="Arial"/>
          <w:sz w:val="22"/>
        </w:rPr>
        <w:t xml:space="preserve"> the Trustee expect</w:t>
      </w:r>
      <w:r w:rsidR="0029719E">
        <w:rPr>
          <w:rFonts w:ascii="Arial" w:hAnsi="Arial" w:cs="Arial"/>
          <w:sz w:val="22"/>
        </w:rPr>
        <w:t>s</w:t>
      </w:r>
      <w:r>
        <w:rPr>
          <w:rFonts w:ascii="Arial" w:hAnsi="Arial" w:cs="Arial"/>
          <w:sz w:val="22"/>
        </w:rPr>
        <w:t xml:space="preserve"> the Plan’s investment managers to adopt a voting policy that is in accordance with best industry practice.</w:t>
      </w:r>
      <w:r w:rsidR="00451911">
        <w:rPr>
          <w:rFonts w:ascii="Arial" w:hAnsi="Arial" w:cs="Arial"/>
          <w:sz w:val="22"/>
        </w:rPr>
        <w:t xml:space="preserve"> The Trustee will periodically ask managers to provide details on how they have discharged their responsibilities.</w:t>
      </w:r>
    </w:p>
    <w:p w14:paraId="59F423C4" w14:textId="77777777" w:rsidR="00CB14BF" w:rsidRDefault="00CB14BF" w:rsidP="0065296C">
      <w:pPr>
        <w:pStyle w:val="Heading2"/>
        <w:numPr>
          <w:ilvl w:val="0"/>
          <w:numId w:val="0"/>
        </w:numPr>
        <w:ind w:left="792" w:hanging="792"/>
        <w:rPr>
          <w:rFonts w:ascii="Arial" w:hAnsi="Arial" w:cs="Arial"/>
          <w:sz w:val="22"/>
        </w:rPr>
      </w:pPr>
    </w:p>
    <w:p w14:paraId="72A8BC42" w14:textId="77777777" w:rsidR="00CB14BF" w:rsidRPr="00A16028" w:rsidRDefault="00CB14BF" w:rsidP="0065296C">
      <w:pPr>
        <w:pStyle w:val="Heading2"/>
        <w:numPr>
          <w:ilvl w:val="0"/>
          <w:numId w:val="0"/>
        </w:numPr>
        <w:ind w:left="792" w:hanging="792"/>
        <w:rPr>
          <w:rFonts w:ascii="Arial" w:hAnsi="Arial" w:cs="Arial"/>
          <w:sz w:val="22"/>
        </w:rPr>
      </w:pPr>
    </w:p>
    <w:p w14:paraId="4FFFD80A" w14:textId="77777777" w:rsidR="00195062" w:rsidRPr="00D77860" w:rsidRDefault="00195062" w:rsidP="007C148D">
      <w:pPr>
        <w:pStyle w:val="Heading1"/>
        <w:framePr w:wrap="around"/>
        <w:tabs>
          <w:tab w:val="num" w:pos="710"/>
        </w:tabs>
        <w:ind w:firstLine="142"/>
        <w:jc w:val="left"/>
        <w:rPr>
          <w:rFonts w:ascii="Arial" w:hAnsi="Arial" w:cs="Arial"/>
        </w:rPr>
      </w:pPr>
    </w:p>
    <w:p w14:paraId="4FFFD80B" w14:textId="387987F0" w:rsidR="00195062" w:rsidRPr="00D77860" w:rsidRDefault="00195062" w:rsidP="00834A2C">
      <w:pPr>
        <w:pStyle w:val="SectionTitle"/>
        <w:framePr w:wrap="around"/>
        <w:spacing w:line="400" w:lineRule="exact"/>
        <w:rPr>
          <w:rFonts w:ascii="Arial" w:hAnsi="Arial" w:cs="Arial"/>
        </w:rPr>
      </w:pPr>
      <w:r w:rsidRPr="00D77860">
        <w:rPr>
          <w:rFonts w:ascii="Arial" w:hAnsi="Arial" w:cs="Arial"/>
        </w:rPr>
        <w:t>Investment arrangements</w:t>
      </w:r>
    </w:p>
    <w:p w14:paraId="4FFFD80D" w14:textId="1C482CBE" w:rsidR="00A835E3" w:rsidRPr="00A16028" w:rsidRDefault="00A835E3" w:rsidP="00BD5163">
      <w:pPr>
        <w:pStyle w:val="Heading2"/>
        <w:tabs>
          <w:tab w:val="left" w:pos="1276"/>
        </w:tabs>
        <w:ind w:left="900" w:hanging="900"/>
        <w:rPr>
          <w:rFonts w:ascii="Arial" w:hAnsi="Arial" w:cs="Arial"/>
          <w:sz w:val="22"/>
        </w:rPr>
      </w:pPr>
      <w:r w:rsidRPr="00A16028">
        <w:rPr>
          <w:rFonts w:ascii="Arial" w:hAnsi="Arial" w:cs="Arial"/>
          <w:sz w:val="22"/>
        </w:rPr>
        <w:t xml:space="preserve">The </w:t>
      </w:r>
      <w:r w:rsidR="006F1E86">
        <w:rPr>
          <w:rFonts w:ascii="Arial" w:hAnsi="Arial" w:cs="Arial"/>
          <w:sz w:val="22"/>
        </w:rPr>
        <w:t>Plan</w:t>
      </w:r>
      <w:r w:rsidR="006F1E86" w:rsidRPr="00A16028">
        <w:rPr>
          <w:rFonts w:ascii="Arial" w:hAnsi="Arial" w:cs="Arial"/>
          <w:sz w:val="22"/>
        </w:rPr>
        <w:t xml:space="preserve">’s </w:t>
      </w:r>
      <w:r w:rsidRPr="00A16028">
        <w:rPr>
          <w:rFonts w:ascii="Arial" w:hAnsi="Arial" w:cs="Arial"/>
          <w:sz w:val="22"/>
        </w:rPr>
        <w:t xml:space="preserve">invested assets are held in an insurance policy issued by </w:t>
      </w:r>
      <w:r w:rsidR="006F1E86">
        <w:rPr>
          <w:rFonts w:ascii="Arial" w:hAnsi="Arial" w:cs="Arial"/>
          <w:sz w:val="22"/>
        </w:rPr>
        <w:t>FIL Life Insurance Limited (“Fidelity”)</w:t>
      </w:r>
      <w:r w:rsidRPr="00A16028">
        <w:rPr>
          <w:rFonts w:ascii="Arial" w:hAnsi="Arial" w:cs="Arial"/>
          <w:sz w:val="22"/>
        </w:rPr>
        <w:t>.</w:t>
      </w:r>
      <w:r w:rsidR="006F1E86">
        <w:rPr>
          <w:rFonts w:ascii="Arial" w:hAnsi="Arial" w:cs="Arial"/>
          <w:sz w:val="22"/>
        </w:rPr>
        <w:t xml:space="preserve"> Fidelity is authorised in the UK by the Financial Conduct Authority and the Prudential Regulation Authority.</w:t>
      </w:r>
    </w:p>
    <w:p w14:paraId="4FFFD80E" w14:textId="57367716" w:rsidR="00195062" w:rsidRPr="00BD5163" w:rsidRDefault="00BD5163" w:rsidP="00BD5163">
      <w:pPr>
        <w:pStyle w:val="Subtitle"/>
        <w:rPr>
          <w:rFonts w:ascii="Arial" w:hAnsi="Arial" w:cs="Arial"/>
          <w:sz w:val="22"/>
        </w:rPr>
      </w:pPr>
      <w:r>
        <w:rPr>
          <w:rFonts w:ascii="Arial" w:hAnsi="Arial" w:cs="Arial"/>
          <w:sz w:val="22"/>
        </w:rPr>
        <w:tab/>
      </w:r>
      <w:r w:rsidR="00195062" w:rsidRPr="00BD5163">
        <w:rPr>
          <w:rFonts w:ascii="Arial" w:hAnsi="Arial" w:cs="Arial"/>
          <w:sz w:val="22"/>
        </w:rPr>
        <w:t>Objectives</w:t>
      </w:r>
    </w:p>
    <w:p w14:paraId="4FFFD80F" w14:textId="17E9268E" w:rsidR="00195062" w:rsidRPr="00A16028" w:rsidRDefault="00195062" w:rsidP="00BD5163">
      <w:pPr>
        <w:pStyle w:val="Heading2"/>
        <w:tabs>
          <w:tab w:val="left" w:pos="1276"/>
        </w:tabs>
        <w:ind w:left="900" w:hanging="900"/>
        <w:rPr>
          <w:rFonts w:ascii="Arial" w:hAnsi="Arial" w:cs="Arial"/>
          <w:sz w:val="22"/>
        </w:rPr>
      </w:pPr>
      <w:r w:rsidRPr="00A16028">
        <w:rPr>
          <w:rFonts w:ascii="Arial" w:hAnsi="Arial" w:cs="Arial"/>
          <w:sz w:val="22"/>
        </w:rPr>
        <w:t xml:space="preserve">The </w:t>
      </w:r>
      <w:r w:rsidR="00A635A5" w:rsidRPr="00A16028">
        <w:rPr>
          <w:rFonts w:ascii="Arial" w:hAnsi="Arial" w:cs="Arial"/>
          <w:sz w:val="22"/>
        </w:rPr>
        <w:t>Trustee</w:t>
      </w:r>
      <w:r w:rsidRPr="00A16028">
        <w:rPr>
          <w:rFonts w:ascii="Arial" w:hAnsi="Arial" w:cs="Arial"/>
          <w:sz w:val="22"/>
        </w:rPr>
        <w:t xml:space="preserve"> aim</w:t>
      </w:r>
      <w:r w:rsidR="00C46FF8" w:rsidRPr="00A16028">
        <w:rPr>
          <w:rFonts w:ascii="Arial" w:hAnsi="Arial" w:cs="Arial"/>
          <w:sz w:val="22"/>
        </w:rPr>
        <w:t>s</w:t>
      </w:r>
      <w:r w:rsidRPr="00A16028">
        <w:rPr>
          <w:rFonts w:ascii="Arial" w:hAnsi="Arial" w:cs="Arial"/>
          <w:sz w:val="22"/>
        </w:rPr>
        <w:t xml:space="preserve"> to make available </w:t>
      </w:r>
      <w:r w:rsidR="00A835E3" w:rsidRPr="00A16028">
        <w:rPr>
          <w:rFonts w:ascii="Arial" w:hAnsi="Arial" w:cs="Arial"/>
          <w:sz w:val="22"/>
        </w:rPr>
        <w:t xml:space="preserve">a range of pooled funds through the </w:t>
      </w:r>
      <w:r w:rsidR="006F1E86">
        <w:rPr>
          <w:rFonts w:ascii="Arial" w:hAnsi="Arial" w:cs="Arial"/>
          <w:sz w:val="22"/>
        </w:rPr>
        <w:t>Plan</w:t>
      </w:r>
      <w:r w:rsidR="006F1E86" w:rsidRPr="00A16028">
        <w:rPr>
          <w:rFonts w:ascii="Arial" w:hAnsi="Arial" w:cs="Arial"/>
          <w:sz w:val="22"/>
        </w:rPr>
        <w:t xml:space="preserve">’s </w:t>
      </w:r>
      <w:r w:rsidR="00A835E3" w:rsidRPr="00A16028">
        <w:rPr>
          <w:rFonts w:ascii="Arial" w:hAnsi="Arial" w:cs="Arial"/>
          <w:sz w:val="22"/>
        </w:rPr>
        <w:t>insurance policy</w:t>
      </w:r>
      <w:r w:rsidRPr="00A16028">
        <w:rPr>
          <w:rFonts w:ascii="Arial" w:hAnsi="Arial" w:cs="Arial"/>
          <w:sz w:val="22"/>
        </w:rPr>
        <w:t xml:space="preserve"> that will allow the acquisition of assets of appropriate liquidity which will generate income and capital growth which, together with new contributions from members and the </w:t>
      </w:r>
      <w:r w:rsidR="0031392B" w:rsidRPr="00A16028">
        <w:rPr>
          <w:rFonts w:ascii="Arial" w:hAnsi="Arial" w:cs="Arial"/>
          <w:sz w:val="22"/>
        </w:rPr>
        <w:t>Principal</w:t>
      </w:r>
      <w:r w:rsidR="00AA6110" w:rsidRPr="00A16028">
        <w:rPr>
          <w:rFonts w:ascii="Arial" w:hAnsi="Arial" w:cs="Arial"/>
          <w:sz w:val="22"/>
        </w:rPr>
        <w:t xml:space="preserve"> Employer</w:t>
      </w:r>
      <w:r w:rsidRPr="00A16028">
        <w:rPr>
          <w:rFonts w:ascii="Arial" w:hAnsi="Arial" w:cs="Arial"/>
          <w:sz w:val="22"/>
        </w:rPr>
        <w:t xml:space="preserve">, will provide a fund at retirement with which to </w:t>
      </w:r>
      <w:r w:rsidR="000E211D" w:rsidRPr="00A16028">
        <w:rPr>
          <w:rFonts w:ascii="Arial" w:hAnsi="Arial" w:cs="Arial"/>
          <w:sz w:val="22"/>
        </w:rPr>
        <w:t xml:space="preserve">either </w:t>
      </w:r>
      <w:r w:rsidRPr="00A16028">
        <w:rPr>
          <w:rFonts w:ascii="Arial" w:hAnsi="Arial" w:cs="Arial"/>
          <w:sz w:val="22"/>
        </w:rPr>
        <w:t>purchase a pension annuity</w:t>
      </w:r>
      <w:r w:rsidR="000E211D" w:rsidRPr="00A16028">
        <w:rPr>
          <w:rFonts w:ascii="Arial" w:hAnsi="Arial" w:cs="Arial"/>
          <w:sz w:val="22"/>
        </w:rPr>
        <w:t>,</w:t>
      </w:r>
      <w:r w:rsidR="002D075F" w:rsidRPr="00A16028">
        <w:rPr>
          <w:rFonts w:ascii="Arial" w:hAnsi="Arial" w:cs="Arial"/>
          <w:sz w:val="22"/>
        </w:rPr>
        <w:t xml:space="preserve"> </w:t>
      </w:r>
      <w:r w:rsidR="00C60247" w:rsidRPr="00A16028">
        <w:rPr>
          <w:rFonts w:ascii="Arial" w:hAnsi="Arial" w:cs="Arial"/>
          <w:sz w:val="22"/>
        </w:rPr>
        <w:t xml:space="preserve">withdraw as </w:t>
      </w:r>
      <w:r w:rsidR="002D075F" w:rsidRPr="00A16028">
        <w:rPr>
          <w:rFonts w:ascii="Arial" w:hAnsi="Arial" w:cs="Arial"/>
          <w:sz w:val="22"/>
        </w:rPr>
        <w:t>a lump sum</w:t>
      </w:r>
      <w:r w:rsidR="000E211D" w:rsidRPr="00A16028">
        <w:rPr>
          <w:rFonts w:ascii="Arial" w:hAnsi="Arial" w:cs="Arial"/>
          <w:sz w:val="22"/>
        </w:rPr>
        <w:t xml:space="preserve"> or </w:t>
      </w:r>
      <w:r w:rsidR="00C60247" w:rsidRPr="00A16028">
        <w:rPr>
          <w:rFonts w:ascii="Arial" w:hAnsi="Arial" w:cs="Arial"/>
          <w:sz w:val="22"/>
        </w:rPr>
        <w:t>access via a</w:t>
      </w:r>
      <w:r w:rsidR="000E211D" w:rsidRPr="00A16028">
        <w:rPr>
          <w:rFonts w:ascii="Arial" w:hAnsi="Arial" w:cs="Arial"/>
          <w:sz w:val="22"/>
        </w:rPr>
        <w:t xml:space="preserve"> drawdown</w:t>
      </w:r>
      <w:r w:rsidR="00C60247" w:rsidRPr="00A16028">
        <w:rPr>
          <w:rFonts w:ascii="Arial" w:hAnsi="Arial" w:cs="Arial"/>
          <w:sz w:val="22"/>
        </w:rPr>
        <w:t xml:space="preserve"> arrangement</w:t>
      </w:r>
      <w:r w:rsidRPr="00A16028">
        <w:rPr>
          <w:rFonts w:ascii="Arial" w:hAnsi="Arial" w:cs="Arial"/>
          <w:sz w:val="22"/>
        </w:rPr>
        <w:t>.</w:t>
      </w:r>
    </w:p>
    <w:p w14:paraId="4FFFD810" w14:textId="43251837" w:rsidR="00195062" w:rsidRPr="00A16028" w:rsidRDefault="00195062" w:rsidP="00BD5163">
      <w:pPr>
        <w:pStyle w:val="Heading2"/>
        <w:tabs>
          <w:tab w:val="left" w:pos="1276"/>
        </w:tabs>
        <w:ind w:left="900" w:hanging="900"/>
        <w:rPr>
          <w:rFonts w:ascii="Arial" w:hAnsi="Arial" w:cs="Arial"/>
          <w:sz w:val="22"/>
        </w:rPr>
      </w:pPr>
      <w:r w:rsidRPr="00A16028">
        <w:rPr>
          <w:rFonts w:ascii="Arial" w:hAnsi="Arial" w:cs="Arial"/>
          <w:sz w:val="22"/>
        </w:rPr>
        <w:t xml:space="preserve">Members' investment needs change as they progress towards retirement age.  Younger members, </w:t>
      </w:r>
      <w:r w:rsidR="00991E93" w:rsidRPr="00A16028">
        <w:rPr>
          <w:rFonts w:ascii="Arial" w:hAnsi="Arial" w:cs="Arial"/>
          <w:sz w:val="22"/>
        </w:rPr>
        <w:t>who typically have many years to</w:t>
      </w:r>
      <w:r w:rsidRPr="00A16028">
        <w:rPr>
          <w:rFonts w:ascii="Arial" w:hAnsi="Arial" w:cs="Arial"/>
          <w:sz w:val="22"/>
        </w:rPr>
        <w:t xml:space="preserve"> retirement, have a greater need for real growth to attempt to ensure their investment accounts keep pace with inflation and, if possible, salary escalation.  Younger members will also, all other things being equal, have a greater tolerance for volatility of returns, as they have a greater time to retirement in which markets may come back in line from any temporary low.</w:t>
      </w:r>
      <w:r w:rsidR="008C3E53" w:rsidRPr="00A16028">
        <w:rPr>
          <w:rFonts w:ascii="Arial" w:hAnsi="Arial" w:cs="Arial"/>
          <w:sz w:val="22"/>
        </w:rPr>
        <w:t xml:space="preserve">  Older members, </w:t>
      </w:r>
      <w:r w:rsidR="0074113D" w:rsidRPr="00A16028">
        <w:rPr>
          <w:rFonts w:ascii="Arial" w:hAnsi="Arial" w:cs="Arial"/>
          <w:sz w:val="22"/>
        </w:rPr>
        <w:t>who are likely to be</w:t>
      </w:r>
      <w:r w:rsidR="008C3E53" w:rsidRPr="00A16028">
        <w:rPr>
          <w:rFonts w:ascii="Arial" w:hAnsi="Arial" w:cs="Arial"/>
          <w:sz w:val="22"/>
        </w:rPr>
        <w:t xml:space="preserve"> </w:t>
      </w:r>
      <w:r w:rsidR="0074113D" w:rsidRPr="00A16028">
        <w:rPr>
          <w:rFonts w:ascii="Arial" w:hAnsi="Arial" w:cs="Arial"/>
          <w:sz w:val="22"/>
        </w:rPr>
        <w:t>close</w:t>
      </w:r>
      <w:r w:rsidRPr="00A16028">
        <w:rPr>
          <w:rFonts w:ascii="Arial" w:hAnsi="Arial" w:cs="Arial"/>
          <w:sz w:val="22"/>
        </w:rPr>
        <w:t xml:space="preserve"> to retirement, will require </w:t>
      </w:r>
      <w:r w:rsidR="00E27DD8">
        <w:rPr>
          <w:rFonts w:ascii="Arial" w:hAnsi="Arial" w:cs="Arial"/>
          <w:sz w:val="22"/>
        </w:rPr>
        <w:t xml:space="preserve">their assets to be correlated, in terms of performance and volatility, with their retirement objective. </w:t>
      </w:r>
    </w:p>
    <w:p w14:paraId="4FFFD811" w14:textId="77777777" w:rsidR="00195062" w:rsidRPr="00A16028" w:rsidRDefault="00195062">
      <w:pPr>
        <w:pStyle w:val="Subtitle"/>
        <w:rPr>
          <w:rFonts w:ascii="Arial" w:hAnsi="Arial" w:cs="Arial"/>
          <w:sz w:val="22"/>
        </w:rPr>
      </w:pPr>
      <w:r w:rsidRPr="00A16028">
        <w:rPr>
          <w:rFonts w:ascii="Arial" w:hAnsi="Arial" w:cs="Arial"/>
          <w:sz w:val="22"/>
        </w:rPr>
        <w:tab/>
        <w:t>Policy</w:t>
      </w:r>
    </w:p>
    <w:p w14:paraId="4FFFD812" w14:textId="011EE0D5" w:rsidR="00E80847" w:rsidRPr="00A16028" w:rsidRDefault="00195062" w:rsidP="00AB5CB8">
      <w:pPr>
        <w:pStyle w:val="Heading2"/>
        <w:tabs>
          <w:tab w:val="left" w:pos="1276"/>
        </w:tabs>
        <w:ind w:left="900" w:hanging="900"/>
        <w:rPr>
          <w:rFonts w:ascii="Arial" w:hAnsi="Arial" w:cs="Arial"/>
          <w:sz w:val="22"/>
        </w:rPr>
      </w:pPr>
      <w:r w:rsidRPr="00A16028">
        <w:rPr>
          <w:rFonts w:ascii="Arial" w:hAnsi="Arial" w:cs="Arial"/>
          <w:sz w:val="22"/>
        </w:rPr>
        <w:t xml:space="preserve">The </w:t>
      </w:r>
      <w:r w:rsidR="00A635A5" w:rsidRPr="00A16028">
        <w:rPr>
          <w:rFonts w:ascii="Arial" w:hAnsi="Arial" w:cs="Arial"/>
          <w:sz w:val="22"/>
        </w:rPr>
        <w:t>Trustee</w:t>
      </w:r>
      <w:r w:rsidR="00AA6110" w:rsidRPr="00A16028">
        <w:rPr>
          <w:rFonts w:ascii="Arial" w:hAnsi="Arial" w:cs="Arial"/>
          <w:sz w:val="22"/>
        </w:rPr>
        <w:t>’</w:t>
      </w:r>
      <w:r w:rsidR="00C46FF8" w:rsidRPr="00A16028">
        <w:rPr>
          <w:rFonts w:ascii="Arial" w:hAnsi="Arial" w:cs="Arial"/>
          <w:sz w:val="22"/>
        </w:rPr>
        <w:t>s</w:t>
      </w:r>
      <w:r w:rsidRPr="00A16028">
        <w:rPr>
          <w:rFonts w:ascii="Arial" w:hAnsi="Arial" w:cs="Arial"/>
          <w:sz w:val="22"/>
        </w:rPr>
        <w:t xml:space="preserve"> </w:t>
      </w:r>
      <w:r w:rsidR="00F22B1B" w:rsidRPr="00A16028">
        <w:rPr>
          <w:rFonts w:ascii="Arial" w:hAnsi="Arial" w:cs="Arial"/>
          <w:sz w:val="22"/>
        </w:rPr>
        <w:t>p</w:t>
      </w:r>
      <w:r w:rsidRPr="00A16028">
        <w:rPr>
          <w:rFonts w:ascii="Arial" w:hAnsi="Arial" w:cs="Arial"/>
          <w:sz w:val="22"/>
        </w:rPr>
        <w:t xml:space="preserve">olicy is to seek to achieve the objectives by offering investment vehicles that invest in a suitable mixture of asset classes.  These different asset classes provide opportunities for both growth and security.  The </w:t>
      </w:r>
      <w:r w:rsidR="00A635A5" w:rsidRPr="00A16028">
        <w:rPr>
          <w:rFonts w:ascii="Arial" w:hAnsi="Arial" w:cs="Arial"/>
          <w:sz w:val="22"/>
        </w:rPr>
        <w:t>Trustee</w:t>
      </w:r>
      <w:r w:rsidRPr="00A16028">
        <w:rPr>
          <w:rFonts w:ascii="Arial" w:hAnsi="Arial" w:cs="Arial"/>
          <w:sz w:val="22"/>
        </w:rPr>
        <w:t xml:space="preserve"> recognise</w:t>
      </w:r>
      <w:r w:rsidR="00967065" w:rsidRPr="00A16028">
        <w:rPr>
          <w:rFonts w:ascii="Arial" w:hAnsi="Arial" w:cs="Arial"/>
          <w:sz w:val="22"/>
        </w:rPr>
        <w:t>s</w:t>
      </w:r>
      <w:r w:rsidRPr="00A16028">
        <w:rPr>
          <w:rFonts w:ascii="Arial" w:hAnsi="Arial" w:cs="Arial"/>
          <w:sz w:val="22"/>
        </w:rPr>
        <w:t xml:space="preserve"> that the returns from assets that are associated with high growth, while expected to be greater over the long term than those on more secure assets, are likely to be more volatile. </w:t>
      </w:r>
      <w:r w:rsidR="00D21BA2" w:rsidRPr="00A16028">
        <w:rPr>
          <w:rFonts w:ascii="Arial" w:hAnsi="Arial" w:cs="Arial"/>
          <w:sz w:val="22"/>
        </w:rPr>
        <w:t xml:space="preserve"> </w:t>
      </w:r>
      <w:r w:rsidRPr="00A16028">
        <w:rPr>
          <w:rFonts w:ascii="Arial" w:hAnsi="Arial" w:cs="Arial"/>
          <w:sz w:val="22"/>
        </w:rPr>
        <w:t xml:space="preserve">Various mixtures across asset classes, reflecting the different requirements as </w:t>
      </w:r>
      <w:r w:rsidR="0052407D" w:rsidRPr="00A16028">
        <w:rPr>
          <w:rFonts w:ascii="Arial" w:hAnsi="Arial" w:cs="Arial"/>
          <w:sz w:val="22"/>
        </w:rPr>
        <w:t>member’s</w:t>
      </w:r>
      <w:r w:rsidRPr="00A16028">
        <w:rPr>
          <w:rFonts w:ascii="Arial" w:hAnsi="Arial" w:cs="Arial"/>
          <w:sz w:val="22"/>
        </w:rPr>
        <w:t xml:space="preserve"> progress towards retirement, should nevertheless provide the level of returns required by the members to meet their </w:t>
      </w:r>
      <w:r w:rsidR="001D2566" w:rsidRPr="00A16028">
        <w:rPr>
          <w:rFonts w:ascii="Arial" w:hAnsi="Arial" w:cs="Arial"/>
          <w:sz w:val="22"/>
        </w:rPr>
        <w:t xml:space="preserve">reasonable </w:t>
      </w:r>
      <w:r w:rsidRPr="00A16028">
        <w:rPr>
          <w:rFonts w:ascii="Arial" w:hAnsi="Arial" w:cs="Arial"/>
          <w:sz w:val="22"/>
        </w:rPr>
        <w:t xml:space="preserve">expectations at an acceptable level of risk for the members.  </w:t>
      </w:r>
    </w:p>
    <w:p w14:paraId="4FFFD813" w14:textId="18A3FF9B" w:rsidR="00E80847" w:rsidRPr="00A16028" w:rsidRDefault="00E80847" w:rsidP="00AB5CB8">
      <w:pPr>
        <w:pStyle w:val="Heading2"/>
        <w:tabs>
          <w:tab w:val="left" w:pos="1276"/>
        </w:tabs>
        <w:ind w:left="900" w:hanging="900"/>
        <w:rPr>
          <w:rFonts w:ascii="Arial" w:hAnsi="Arial" w:cs="Arial"/>
          <w:sz w:val="22"/>
        </w:rPr>
      </w:pPr>
      <w:r w:rsidRPr="00A16028">
        <w:rPr>
          <w:rFonts w:ascii="Arial" w:hAnsi="Arial" w:cs="Arial"/>
          <w:sz w:val="22"/>
        </w:rPr>
        <w:t xml:space="preserve">The </w:t>
      </w:r>
      <w:r w:rsidR="006F1E86">
        <w:rPr>
          <w:rFonts w:ascii="Arial" w:hAnsi="Arial" w:cs="Arial"/>
          <w:sz w:val="22"/>
        </w:rPr>
        <w:t>Plan</w:t>
      </w:r>
      <w:r w:rsidR="006F1E86" w:rsidRPr="00A16028">
        <w:rPr>
          <w:rFonts w:ascii="Arial" w:hAnsi="Arial" w:cs="Arial"/>
          <w:sz w:val="22"/>
        </w:rPr>
        <w:t xml:space="preserve">’s </w:t>
      </w:r>
      <w:r w:rsidRPr="00A16028">
        <w:rPr>
          <w:rFonts w:ascii="Arial" w:hAnsi="Arial" w:cs="Arial"/>
          <w:sz w:val="22"/>
        </w:rPr>
        <w:t xml:space="preserve">fund range includes “white-labelled” funds. The </w:t>
      </w:r>
      <w:r w:rsidR="00A635A5" w:rsidRPr="00A16028">
        <w:rPr>
          <w:rFonts w:ascii="Arial" w:hAnsi="Arial" w:cs="Arial"/>
          <w:sz w:val="22"/>
        </w:rPr>
        <w:t>Trustee</w:t>
      </w:r>
      <w:r w:rsidRPr="00A16028">
        <w:rPr>
          <w:rFonts w:ascii="Arial" w:hAnsi="Arial" w:cs="Arial"/>
          <w:sz w:val="22"/>
        </w:rPr>
        <w:t xml:space="preserve"> made the decision to do so for the following reasons:</w:t>
      </w:r>
    </w:p>
    <w:p w14:paraId="4FFFD814" w14:textId="77777777" w:rsidR="009B5598" w:rsidRPr="00A16028" w:rsidRDefault="009B5598" w:rsidP="005B6817">
      <w:pPr>
        <w:pStyle w:val="Heading2"/>
        <w:numPr>
          <w:ilvl w:val="0"/>
          <w:numId w:val="10"/>
        </w:numPr>
        <w:tabs>
          <w:tab w:val="clear" w:pos="907"/>
          <w:tab w:val="clear" w:pos="9185"/>
        </w:tabs>
        <w:ind w:left="1701"/>
        <w:rPr>
          <w:rFonts w:ascii="Arial" w:hAnsi="Arial" w:cs="Arial"/>
          <w:sz w:val="22"/>
        </w:rPr>
      </w:pPr>
      <w:r w:rsidRPr="00A16028">
        <w:rPr>
          <w:rFonts w:ascii="Arial" w:hAnsi="Arial" w:cs="Arial"/>
          <w:sz w:val="22"/>
        </w:rPr>
        <w:t>To allow the use of blended funds to provide diversification of managers</w:t>
      </w:r>
      <w:r w:rsidR="00331EA4" w:rsidRPr="00A16028">
        <w:rPr>
          <w:rFonts w:ascii="Arial" w:hAnsi="Arial" w:cs="Arial"/>
          <w:sz w:val="22"/>
        </w:rPr>
        <w:t>;</w:t>
      </w:r>
    </w:p>
    <w:p w14:paraId="4FFFD815" w14:textId="0ED42B7F" w:rsidR="00E80847" w:rsidRPr="00A16028" w:rsidRDefault="00D76276" w:rsidP="005B6817">
      <w:pPr>
        <w:pStyle w:val="Heading2"/>
        <w:numPr>
          <w:ilvl w:val="0"/>
          <w:numId w:val="10"/>
        </w:numPr>
        <w:tabs>
          <w:tab w:val="clear" w:pos="907"/>
          <w:tab w:val="clear" w:pos="9185"/>
        </w:tabs>
        <w:ind w:left="1701"/>
        <w:rPr>
          <w:rFonts w:ascii="Arial" w:hAnsi="Arial" w:cs="Arial"/>
          <w:sz w:val="22"/>
        </w:rPr>
      </w:pPr>
      <w:r w:rsidRPr="00A16028">
        <w:rPr>
          <w:rFonts w:ascii="Arial" w:hAnsi="Arial" w:cs="Arial"/>
          <w:sz w:val="22"/>
        </w:rPr>
        <w:t>T</w:t>
      </w:r>
      <w:r w:rsidR="00E80847" w:rsidRPr="00A16028">
        <w:rPr>
          <w:rFonts w:ascii="Arial" w:hAnsi="Arial" w:cs="Arial"/>
          <w:sz w:val="22"/>
        </w:rPr>
        <w:t>o help focus the communications message to members</w:t>
      </w:r>
      <w:r w:rsidR="00331EA4" w:rsidRPr="00A16028">
        <w:rPr>
          <w:rFonts w:ascii="Arial" w:hAnsi="Arial" w:cs="Arial"/>
          <w:sz w:val="22"/>
        </w:rPr>
        <w:t>;</w:t>
      </w:r>
    </w:p>
    <w:p w14:paraId="4FFFD816" w14:textId="6691A7F0" w:rsidR="00E80847" w:rsidRPr="00A16028" w:rsidRDefault="00E80847" w:rsidP="005B6817">
      <w:pPr>
        <w:pStyle w:val="Heading2"/>
        <w:numPr>
          <w:ilvl w:val="0"/>
          <w:numId w:val="10"/>
        </w:numPr>
        <w:tabs>
          <w:tab w:val="clear" w:pos="907"/>
          <w:tab w:val="clear" w:pos="9185"/>
        </w:tabs>
        <w:ind w:left="1701"/>
        <w:rPr>
          <w:rFonts w:ascii="Arial" w:hAnsi="Arial" w:cs="Arial"/>
          <w:sz w:val="22"/>
        </w:rPr>
      </w:pPr>
      <w:r w:rsidRPr="00A16028">
        <w:rPr>
          <w:rFonts w:ascii="Arial" w:hAnsi="Arial" w:cs="Arial"/>
          <w:sz w:val="22"/>
        </w:rPr>
        <w:t xml:space="preserve">To simplify the ongoing administration of the </w:t>
      </w:r>
      <w:r w:rsidR="006F1E86">
        <w:rPr>
          <w:rFonts w:ascii="Arial" w:hAnsi="Arial" w:cs="Arial"/>
          <w:sz w:val="22"/>
        </w:rPr>
        <w:t>Plan</w:t>
      </w:r>
      <w:r w:rsidR="006F1E86" w:rsidRPr="00A16028">
        <w:rPr>
          <w:rFonts w:ascii="Arial" w:hAnsi="Arial" w:cs="Arial"/>
          <w:sz w:val="22"/>
        </w:rPr>
        <w:t xml:space="preserve"> </w:t>
      </w:r>
      <w:r w:rsidRPr="00A16028">
        <w:rPr>
          <w:rFonts w:ascii="Arial" w:hAnsi="Arial" w:cs="Arial"/>
          <w:sz w:val="22"/>
        </w:rPr>
        <w:t>in the event of a change in investment manager</w:t>
      </w:r>
      <w:r w:rsidR="00331EA4" w:rsidRPr="00A16028">
        <w:rPr>
          <w:rFonts w:ascii="Arial" w:hAnsi="Arial" w:cs="Arial"/>
          <w:sz w:val="22"/>
        </w:rPr>
        <w:t>;</w:t>
      </w:r>
    </w:p>
    <w:p w14:paraId="4FFFD817" w14:textId="7CE4843A" w:rsidR="00D21BA2" w:rsidRPr="00A16028" w:rsidRDefault="00E80847" w:rsidP="005B6817">
      <w:pPr>
        <w:pStyle w:val="Heading2"/>
        <w:numPr>
          <w:ilvl w:val="0"/>
          <w:numId w:val="10"/>
        </w:numPr>
        <w:tabs>
          <w:tab w:val="clear" w:pos="907"/>
          <w:tab w:val="clear" w:pos="9185"/>
        </w:tabs>
        <w:ind w:left="1701"/>
        <w:rPr>
          <w:rFonts w:ascii="Arial" w:hAnsi="Arial" w:cs="Arial"/>
          <w:sz w:val="22"/>
        </w:rPr>
      </w:pPr>
      <w:r w:rsidRPr="00A16028">
        <w:rPr>
          <w:rFonts w:ascii="Arial" w:hAnsi="Arial" w:cs="Arial"/>
          <w:sz w:val="22"/>
        </w:rPr>
        <w:t xml:space="preserve">To increase the investment flexibility of the </w:t>
      </w:r>
      <w:r w:rsidR="006F1E86">
        <w:rPr>
          <w:rFonts w:ascii="Arial" w:hAnsi="Arial" w:cs="Arial"/>
          <w:sz w:val="22"/>
        </w:rPr>
        <w:t>Plan</w:t>
      </w:r>
      <w:r w:rsidR="006F1E86" w:rsidRPr="00A16028">
        <w:rPr>
          <w:rFonts w:ascii="Arial" w:hAnsi="Arial" w:cs="Arial"/>
          <w:sz w:val="22"/>
        </w:rPr>
        <w:t xml:space="preserve"> </w:t>
      </w:r>
      <w:r w:rsidRPr="00A16028">
        <w:rPr>
          <w:rFonts w:ascii="Arial" w:hAnsi="Arial" w:cs="Arial"/>
          <w:sz w:val="22"/>
        </w:rPr>
        <w:t>so that the current framework can accommodate potential future enhancements without undue disruption</w:t>
      </w:r>
      <w:r w:rsidR="00331EA4" w:rsidRPr="00A16028">
        <w:rPr>
          <w:rFonts w:ascii="Arial" w:hAnsi="Arial" w:cs="Arial"/>
          <w:sz w:val="22"/>
        </w:rPr>
        <w:t>;</w:t>
      </w:r>
    </w:p>
    <w:p w14:paraId="66EF05B7" w14:textId="77777777" w:rsidR="00990CC1" w:rsidRPr="00A16028" w:rsidRDefault="00990CC1" w:rsidP="00990CC1">
      <w:pPr>
        <w:pStyle w:val="Heading2"/>
        <w:numPr>
          <w:ilvl w:val="0"/>
          <w:numId w:val="0"/>
        </w:numPr>
        <w:tabs>
          <w:tab w:val="left" w:pos="1276"/>
        </w:tabs>
        <w:ind w:left="900"/>
        <w:rPr>
          <w:rFonts w:ascii="Arial" w:hAnsi="Arial" w:cs="Arial"/>
          <w:sz w:val="22"/>
        </w:rPr>
      </w:pPr>
      <w:r w:rsidRPr="00A16028">
        <w:rPr>
          <w:rFonts w:ascii="Arial" w:hAnsi="Arial" w:cs="Arial"/>
          <w:sz w:val="22"/>
        </w:rPr>
        <w:t>A list of funds that are currently provided, along with the objective for each investment fund, is shown in the appendix.</w:t>
      </w:r>
    </w:p>
    <w:p w14:paraId="5389C247" w14:textId="77777777" w:rsidR="00990CC1" w:rsidRPr="00A16028" w:rsidRDefault="00990CC1" w:rsidP="00990CC1">
      <w:pPr>
        <w:pStyle w:val="Heading2"/>
        <w:numPr>
          <w:ilvl w:val="0"/>
          <w:numId w:val="0"/>
        </w:numPr>
        <w:tabs>
          <w:tab w:val="clear" w:pos="907"/>
          <w:tab w:val="clear" w:pos="9185"/>
        </w:tabs>
        <w:ind w:left="907" w:hanging="907"/>
        <w:rPr>
          <w:rFonts w:ascii="Arial" w:hAnsi="Arial" w:cs="Arial"/>
          <w:sz w:val="22"/>
        </w:rPr>
      </w:pPr>
    </w:p>
    <w:p w14:paraId="3AA40B8C" w14:textId="77777777" w:rsidR="00D21BA2" w:rsidRPr="00A16028" w:rsidRDefault="00D21BA2">
      <w:pPr>
        <w:suppressLineNumbers w:val="0"/>
        <w:tabs>
          <w:tab w:val="clear" w:pos="907"/>
          <w:tab w:val="clear" w:pos="9185"/>
        </w:tabs>
        <w:suppressAutoHyphens w:val="0"/>
        <w:spacing w:line="240" w:lineRule="auto"/>
        <w:jc w:val="left"/>
        <w:rPr>
          <w:rFonts w:ascii="Arial" w:hAnsi="Arial" w:cs="Arial"/>
          <w:sz w:val="22"/>
        </w:rPr>
      </w:pPr>
      <w:r w:rsidRPr="00A16028">
        <w:rPr>
          <w:rFonts w:ascii="Arial" w:hAnsi="Arial" w:cs="Arial"/>
          <w:sz w:val="22"/>
        </w:rPr>
        <w:br w:type="page"/>
      </w:r>
    </w:p>
    <w:p w14:paraId="46C5CFA4" w14:textId="526056A4" w:rsidR="00F914FA" w:rsidRDefault="00195062">
      <w:pPr>
        <w:pStyle w:val="Subtitle"/>
        <w:rPr>
          <w:rFonts w:ascii="Arial" w:hAnsi="Arial" w:cs="Arial"/>
          <w:sz w:val="22"/>
        </w:rPr>
      </w:pPr>
      <w:r w:rsidRPr="00A16028">
        <w:rPr>
          <w:rFonts w:ascii="Arial" w:hAnsi="Arial" w:cs="Arial"/>
          <w:sz w:val="22"/>
        </w:rPr>
        <w:lastRenderedPageBreak/>
        <w:tab/>
      </w:r>
      <w:r w:rsidR="00F914FA">
        <w:rPr>
          <w:rFonts w:ascii="Arial" w:hAnsi="Arial" w:cs="Arial"/>
          <w:sz w:val="22"/>
        </w:rPr>
        <w:t xml:space="preserve">Default Investment Strategy </w:t>
      </w:r>
    </w:p>
    <w:p w14:paraId="58CAD871" w14:textId="48F14961" w:rsidR="00F914FA" w:rsidRPr="00721B9A" w:rsidRDefault="00721B9A" w:rsidP="00721B9A">
      <w:pPr>
        <w:pStyle w:val="Heading2"/>
        <w:tabs>
          <w:tab w:val="num" w:pos="1080"/>
          <w:tab w:val="left" w:pos="1276"/>
        </w:tabs>
        <w:ind w:left="900" w:hanging="900"/>
        <w:rPr>
          <w:rFonts w:ascii="Arial" w:hAnsi="Arial" w:cs="Arial"/>
          <w:sz w:val="22"/>
        </w:rPr>
      </w:pPr>
      <w:r w:rsidRPr="00721B9A">
        <w:rPr>
          <w:rFonts w:ascii="Arial" w:hAnsi="Arial" w:cs="Arial"/>
          <w:sz w:val="22"/>
        </w:rPr>
        <w:t>Members of the Plan who do not make an explicit choice on how to invest their pension savings are automatically invested in the Balanced Growth Annuity Lifestyle (“the BGAL”) being the default investment strategy under the Plan.</w:t>
      </w:r>
    </w:p>
    <w:p w14:paraId="2B3FB24D" w14:textId="53D58A44" w:rsidR="00F914FA" w:rsidRPr="00721B9A" w:rsidRDefault="00721B9A" w:rsidP="00721B9A">
      <w:pPr>
        <w:pStyle w:val="Heading2"/>
        <w:tabs>
          <w:tab w:val="num" w:pos="1080"/>
          <w:tab w:val="left" w:pos="1276"/>
        </w:tabs>
        <w:ind w:left="900" w:hanging="900"/>
        <w:rPr>
          <w:rFonts w:ascii="Arial" w:hAnsi="Arial" w:cs="Arial"/>
          <w:sz w:val="22"/>
        </w:rPr>
      </w:pPr>
      <w:r w:rsidRPr="00721B9A">
        <w:rPr>
          <w:rFonts w:ascii="Arial" w:hAnsi="Arial" w:cs="Arial"/>
          <w:sz w:val="22"/>
        </w:rPr>
        <w:t>The overall objective of the BGAL is to provide those members who do not actively make their own investment choice with an investment strategy that aims to</w:t>
      </w:r>
      <w:r>
        <w:rPr>
          <w:rFonts w:ascii="Arial" w:hAnsi="Arial" w:cs="Arial"/>
          <w:sz w:val="22"/>
        </w:rPr>
        <w:t>:</w:t>
      </w:r>
    </w:p>
    <w:p w14:paraId="322F636B" w14:textId="5C0AAAEC" w:rsidR="00721B9A" w:rsidRPr="00721B9A" w:rsidRDefault="00721B9A" w:rsidP="005B6817">
      <w:pPr>
        <w:pStyle w:val="Heading2"/>
        <w:numPr>
          <w:ilvl w:val="0"/>
          <w:numId w:val="10"/>
        </w:numPr>
        <w:tabs>
          <w:tab w:val="clear" w:pos="907"/>
          <w:tab w:val="clear" w:pos="9185"/>
        </w:tabs>
        <w:ind w:left="1701"/>
        <w:rPr>
          <w:rFonts w:ascii="Arial" w:hAnsi="Arial" w:cs="Arial"/>
          <w:sz w:val="22"/>
        </w:rPr>
      </w:pPr>
      <w:r w:rsidRPr="00721B9A">
        <w:rPr>
          <w:rFonts w:ascii="Arial" w:hAnsi="Arial" w:cs="Arial"/>
          <w:sz w:val="22"/>
        </w:rPr>
        <w:t>Maximise returns over the long term at an acceptable (medium) level of risk whilst a member is at least 10 years from retirement</w:t>
      </w:r>
      <w:r>
        <w:rPr>
          <w:rFonts w:ascii="Arial" w:hAnsi="Arial" w:cs="Arial"/>
          <w:sz w:val="22"/>
        </w:rPr>
        <w:t>;</w:t>
      </w:r>
    </w:p>
    <w:p w14:paraId="581E9927" w14:textId="046A3D27" w:rsidR="00F914FA" w:rsidRDefault="00721B9A" w:rsidP="005B6817">
      <w:pPr>
        <w:pStyle w:val="Heading2"/>
        <w:numPr>
          <w:ilvl w:val="0"/>
          <w:numId w:val="10"/>
        </w:numPr>
        <w:tabs>
          <w:tab w:val="clear" w:pos="907"/>
          <w:tab w:val="clear" w:pos="9185"/>
        </w:tabs>
        <w:ind w:left="1701"/>
        <w:rPr>
          <w:rFonts w:ascii="Arial" w:hAnsi="Arial" w:cs="Arial"/>
          <w:sz w:val="22"/>
        </w:rPr>
      </w:pPr>
      <w:r w:rsidRPr="00721B9A">
        <w:rPr>
          <w:rFonts w:ascii="Arial" w:hAnsi="Arial" w:cs="Arial"/>
          <w:sz w:val="22"/>
        </w:rPr>
        <w:t>Provide a gradual reduction in risk during the 10 years immediately leading up to a member’s retirement whilst at the same time providing some protection against adverse movements in annuity prices.</w:t>
      </w:r>
    </w:p>
    <w:p w14:paraId="7AB8A548" w14:textId="557470B5" w:rsidR="00721B9A" w:rsidRDefault="00721B9A" w:rsidP="00721B9A">
      <w:pPr>
        <w:pStyle w:val="Heading2"/>
        <w:numPr>
          <w:ilvl w:val="0"/>
          <w:numId w:val="0"/>
        </w:numPr>
        <w:tabs>
          <w:tab w:val="left" w:pos="1276"/>
        </w:tabs>
        <w:ind w:left="900"/>
        <w:rPr>
          <w:rFonts w:ascii="Arial" w:hAnsi="Arial" w:cs="Arial"/>
          <w:sz w:val="22"/>
        </w:rPr>
      </w:pPr>
      <w:r w:rsidRPr="00721B9A">
        <w:rPr>
          <w:rFonts w:ascii="Arial" w:hAnsi="Arial" w:cs="Arial"/>
          <w:sz w:val="22"/>
        </w:rPr>
        <w:t>The BGAL aims to achieve the above by:</w:t>
      </w:r>
    </w:p>
    <w:p w14:paraId="334FC5AF" w14:textId="0170E7C5" w:rsidR="00721B9A" w:rsidRPr="006E1FF6" w:rsidRDefault="00721B9A" w:rsidP="006E1FF6">
      <w:pPr>
        <w:pStyle w:val="Default"/>
        <w:numPr>
          <w:ilvl w:val="0"/>
          <w:numId w:val="21"/>
        </w:numPr>
      </w:pPr>
      <w:r w:rsidRPr="00721B9A">
        <w:rPr>
          <w:sz w:val="22"/>
        </w:rPr>
        <w:t>Investing 100% in the Balanced Growth Fund whilst a member is at least 10 years from retirement. This fund invests in a range of different funds, both actively and passively managed, that provide a well-diversified range of underlying investments both in the UK and overseas, including equities, bonds, real estate, commodities, hedge funds, high yield debt and private equity</w:t>
      </w:r>
      <w:r w:rsidR="006E1FF6">
        <w:rPr>
          <w:sz w:val="22"/>
        </w:rPr>
        <w:t>.</w:t>
      </w:r>
      <w:r w:rsidR="004B5E08">
        <w:rPr>
          <w:sz w:val="22"/>
        </w:rPr>
        <w:t xml:space="preserve"> T</w:t>
      </w:r>
      <w:r w:rsidR="006E1FF6">
        <w:rPr>
          <w:sz w:val="22"/>
        </w:rPr>
        <w:t xml:space="preserve">he return on the fund is expected to be in line with a composite benchmark made up of 40% </w:t>
      </w:r>
      <w:r w:rsidR="006E1FF6" w:rsidRPr="006E1FF6">
        <w:rPr>
          <w:color w:val="auto"/>
          <w:sz w:val="22"/>
          <w:szCs w:val="22"/>
        </w:rPr>
        <w:t xml:space="preserve">LIBOR GBP 1 month +4%, 20.0% LIBOR GBP 6 Month, 15.0% </w:t>
      </w:r>
      <w:proofErr w:type="spellStart"/>
      <w:r w:rsidR="006E1FF6" w:rsidRPr="006E1FF6">
        <w:rPr>
          <w:color w:val="auto"/>
          <w:sz w:val="22"/>
          <w:szCs w:val="22"/>
        </w:rPr>
        <w:t>BoAML</w:t>
      </w:r>
      <w:proofErr w:type="spellEnd"/>
      <w:r w:rsidR="006E1FF6" w:rsidRPr="006E1FF6">
        <w:rPr>
          <w:color w:val="auto"/>
          <w:sz w:val="22"/>
          <w:szCs w:val="22"/>
        </w:rPr>
        <w:t xml:space="preserve"> </w:t>
      </w:r>
      <w:proofErr w:type="spellStart"/>
      <w:r w:rsidR="006E1FF6" w:rsidRPr="006E1FF6">
        <w:rPr>
          <w:color w:val="auto"/>
          <w:sz w:val="22"/>
          <w:szCs w:val="22"/>
        </w:rPr>
        <w:t>Eurosterling</w:t>
      </w:r>
      <w:proofErr w:type="spellEnd"/>
      <w:r w:rsidR="006E1FF6" w:rsidRPr="006E1FF6">
        <w:rPr>
          <w:color w:val="auto"/>
          <w:sz w:val="22"/>
          <w:szCs w:val="22"/>
        </w:rPr>
        <w:t xml:space="preserve"> Bond Index, 10.0% Bank of England Base Rate +3.5%, 10.0% Composite (</w:t>
      </w:r>
      <w:r w:rsidR="004B5E08">
        <w:rPr>
          <w:color w:val="auto"/>
          <w:sz w:val="22"/>
          <w:szCs w:val="22"/>
        </w:rPr>
        <w:t>50% FTSE All-Share</w:t>
      </w:r>
      <w:r w:rsidR="006E1FF6" w:rsidRPr="006E1FF6">
        <w:rPr>
          <w:color w:val="auto"/>
          <w:sz w:val="22"/>
          <w:szCs w:val="22"/>
        </w:rPr>
        <w:t xml:space="preserve">, </w:t>
      </w:r>
      <w:r w:rsidR="004B5E08">
        <w:rPr>
          <w:color w:val="auto"/>
          <w:sz w:val="22"/>
          <w:szCs w:val="22"/>
        </w:rPr>
        <w:t>17.5% FTSE North America</w:t>
      </w:r>
      <w:r w:rsidR="006E1FF6" w:rsidRPr="006E1FF6">
        <w:rPr>
          <w:color w:val="auto"/>
          <w:sz w:val="22"/>
          <w:szCs w:val="22"/>
        </w:rPr>
        <w:t xml:space="preserve">, </w:t>
      </w:r>
      <w:r w:rsidR="004B5E08">
        <w:rPr>
          <w:color w:val="auto"/>
          <w:sz w:val="22"/>
          <w:szCs w:val="22"/>
        </w:rPr>
        <w:t xml:space="preserve">17.5% </w:t>
      </w:r>
      <w:r w:rsidR="006E1FF6" w:rsidRPr="006E1FF6">
        <w:rPr>
          <w:color w:val="auto"/>
          <w:sz w:val="22"/>
          <w:szCs w:val="22"/>
        </w:rPr>
        <w:t xml:space="preserve">FTSE </w:t>
      </w:r>
      <w:r w:rsidR="004B5E08">
        <w:rPr>
          <w:color w:val="auto"/>
          <w:sz w:val="22"/>
          <w:szCs w:val="22"/>
        </w:rPr>
        <w:t>Developed Europe (ex UK)</w:t>
      </w:r>
      <w:r w:rsidR="006E1FF6" w:rsidRPr="006E1FF6">
        <w:rPr>
          <w:color w:val="auto"/>
          <w:sz w:val="22"/>
          <w:szCs w:val="22"/>
        </w:rPr>
        <w:t xml:space="preserve">, </w:t>
      </w:r>
      <w:r w:rsidR="004B5E08">
        <w:rPr>
          <w:color w:val="auto"/>
          <w:sz w:val="22"/>
          <w:szCs w:val="22"/>
        </w:rPr>
        <w:t>8.75% FTSE Japan</w:t>
      </w:r>
      <w:r w:rsidR="006E1FF6" w:rsidRPr="006E1FF6">
        <w:rPr>
          <w:color w:val="auto"/>
          <w:sz w:val="22"/>
          <w:szCs w:val="22"/>
        </w:rPr>
        <w:t xml:space="preserve">, </w:t>
      </w:r>
      <w:r w:rsidR="004B5E08">
        <w:rPr>
          <w:color w:val="auto"/>
          <w:sz w:val="22"/>
          <w:szCs w:val="22"/>
        </w:rPr>
        <w:t xml:space="preserve">6.25% </w:t>
      </w:r>
      <w:r w:rsidR="006E1FF6" w:rsidRPr="006E1FF6">
        <w:rPr>
          <w:color w:val="auto"/>
          <w:sz w:val="22"/>
          <w:szCs w:val="22"/>
        </w:rPr>
        <w:t xml:space="preserve">FTSE World A Pac </w:t>
      </w:r>
      <w:r w:rsidR="004B5E08">
        <w:rPr>
          <w:color w:val="auto"/>
          <w:sz w:val="22"/>
          <w:szCs w:val="22"/>
        </w:rPr>
        <w:t>(</w:t>
      </w:r>
      <w:proofErr w:type="spellStart"/>
      <w:r w:rsidR="004B5E08">
        <w:rPr>
          <w:color w:val="auto"/>
          <w:sz w:val="22"/>
          <w:szCs w:val="22"/>
        </w:rPr>
        <w:t>ex Japan</w:t>
      </w:r>
      <w:proofErr w:type="spellEnd"/>
      <w:r w:rsidR="004B5E08">
        <w:rPr>
          <w:color w:val="auto"/>
          <w:sz w:val="22"/>
          <w:szCs w:val="22"/>
        </w:rPr>
        <w:t>)) and</w:t>
      </w:r>
      <w:r w:rsidR="006E1FF6" w:rsidRPr="006E1FF6">
        <w:rPr>
          <w:color w:val="auto"/>
          <w:sz w:val="22"/>
          <w:szCs w:val="22"/>
        </w:rPr>
        <w:t xml:space="preserve"> 5.0% MSCI Global Emerging Markets Index</w:t>
      </w:r>
      <w:r w:rsidR="004B5E08">
        <w:rPr>
          <w:color w:val="auto"/>
          <w:sz w:val="22"/>
          <w:szCs w:val="22"/>
        </w:rPr>
        <w:t>.</w:t>
      </w:r>
    </w:p>
    <w:p w14:paraId="73B92D7C" w14:textId="23D15C67" w:rsidR="00721B9A" w:rsidRDefault="00721B9A" w:rsidP="005B6817">
      <w:pPr>
        <w:pStyle w:val="Heading2"/>
        <w:numPr>
          <w:ilvl w:val="0"/>
          <w:numId w:val="10"/>
        </w:numPr>
        <w:tabs>
          <w:tab w:val="clear" w:pos="907"/>
          <w:tab w:val="clear" w:pos="9185"/>
        </w:tabs>
        <w:ind w:left="1701"/>
        <w:rPr>
          <w:rFonts w:ascii="Arial" w:hAnsi="Arial" w:cs="Arial"/>
          <w:sz w:val="22"/>
        </w:rPr>
      </w:pPr>
      <w:r w:rsidRPr="00721B9A">
        <w:rPr>
          <w:rFonts w:ascii="Arial" w:hAnsi="Arial" w:cs="Arial"/>
          <w:sz w:val="22"/>
        </w:rPr>
        <w:t>Gradually switching from the Balanced Growth Fund to a mix of the L&amp;G Pre-Retirement Fund and the L&amp;G Cash Fund during the 10 years immediately preceding a member’s retirement date, so that on retirement, they are invested 75% in the L&amp;G Pre-Retirement Fund and 25% in the L&amp;G Cash Fund. In relation to this phase of the BGAL:</w:t>
      </w:r>
    </w:p>
    <w:p w14:paraId="0B2CE677" w14:textId="016187BE" w:rsidR="00721B9A" w:rsidRPr="00721B9A" w:rsidRDefault="00721B9A" w:rsidP="005B6817">
      <w:pPr>
        <w:pStyle w:val="Heading2"/>
        <w:numPr>
          <w:ilvl w:val="1"/>
          <w:numId w:val="10"/>
        </w:numPr>
        <w:tabs>
          <w:tab w:val="clear" w:pos="907"/>
          <w:tab w:val="clear" w:pos="9185"/>
        </w:tabs>
        <w:rPr>
          <w:rFonts w:ascii="Arial" w:hAnsi="Arial" w:cs="Arial"/>
          <w:sz w:val="22"/>
        </w:rPr>
      </w:pPr>
      <w:r w:rsidRPr="00721B9A">
        <w:rPr>
          <w:rFonts w:ascii="Arial" w:hAnsi="Arial" w:cs="Arial"/>
          <w:sz w:val="22"/>
        </w:rPr>
        <w:t>The L&amp;G Pre-Retirement Fund is passively managed and invests in a mix of bonds (both corporate and government) that aim to reflect the broad characteristics of investments underlying the pricing of a typical level annuity. The return on the fund is expected to be in line with a composite benchmark.</w:t>
      </w:r>
    </w:p>
    <w:p w14:paraId="165F9475" w14:textId="15A13E8C" w:rsidR="00721B9A" w:rsidRDefault="00721B9A" w:rsidP="005B6817">
      <w:pPr>
        <w:pStyle w:val="Heading2"/>
        <w:numPr>
          <w:ilvl w:val="1"/>
          <w:numId w:val="10"/>
        </w:numPr>
        <w:tabs>
          <w:tab w:val="clear" w:pos="907"/>
          <w:tab w:val="clear" w:pos="9185"/>
        </w:tabs>
        <w:rPr>
          <w:rFonts w:ascii="Arial" w:hAnsi="Arial" w:cs="Arial"/>
          <w:sz w:val="22"/>
        </w:rPr>
      </w:pPr>
      <w:r w:rsidRPr="00721B9A">
        <w:rPr>
          <w:rFonts w:ascii="Arial" w:hAnsi="Arial" w:cs="Arial"/>
          <w:sz w:val="22"/>
        </w:rPr>
        <w:t xml:space="preserve">The L&amp;G Cash Fund invests in the </w:t>
      </w:r>
      <w:proofErr w:type="gramStart"/>
      <w:r w:rsidRPr="00721B9A">
        <w:rPr>
          <w:rFonts w:ascii="Arial" w:hAnsi="Arial" w:cs="Arial"/>
          <w:sz w:val="22"/>
        </w:rPr>
        <w:t>short term</w:t>
      </w:r>
      <w:proofErr w:type="gramEnd"/>
      <w:r w:rsidRPr="00721B9A">
        <w:rPr>
          <w:rFonts w:ascii="Arial" w:hAnsi="Arial" w:cs="Arial"/>
          <w:sz w:val="22"/>
        </w:rPr>
        <w:t xml:space="preserve"> money markets (such as bank deposits and Treasury Bills) and the return is expected to be in line with the 7 Day London Interbank Bid Rate (LIBID).</w:t>
      </w:r>
    </w:p>
    <w:p w14:paraId="3DBD8D99" w14:textId="4124898C" w:rsidR="00721B9A" w:rsidRDefault="00721B9A" w:rsidP="00721B9A">
      <w:pPr>
        <w:pStyle w:val="Heading2"/>
        <w:numPr>
          <w:ilvl w:val="0"/>
          <w:numId w:val="0"/>
        </w:numPr>
        <w:tabs>
          <w:tab w:val="left" w:pos="1276"/>
        </w:tabs>
        <w:ind w:left="900"/>
        <w:rPr>
          <w:rFonts w:ascii="Arial" w:hAnsi="Arial" w:cs="Arial"/>
          <w:sz w:val="22"/>
        </w:rPr>
      </w:pPr>
      <w:r w:rsidRPr="00721B9A">
        <w:rPr>
          <w:rFonts w:ascii="Arial" w:hAnsi="Arial" w:cs="Arial"/>
          <w:sz w:val="22"/>
        </w:rPr>
        <w:t>The Trustees currently consider the above approach to be in the best interest of those members who do not make an explicit choice on how to invest their pension savings as it initially provides the prospect of long term growth at a medium level of risk whilst a member is a number of years from retirement but then gradually reduces risk as a member approaches retirement whilst at the same time providing some protection against fluctuating annuity prices</w:t>
      </w:r>
      <w:r w:rsidR="005B6817">
        <w:rPr>
          <w:rFonts w:ascii="Arial" w:hAnsi="Arial" w:cs="Arial"/>
          <w:sz w:val="22"/>
        </w:rPr>
        <w:t>.</w:t>
      </w:r>
    </w:p>
    <w:p w14:paraId="31BD9F9E" w14:textId="7973788B" w:rsidR="005B6817" w:rsidRDefault="00BD5163" w:rsidP="005B6817">
      <w:pPr>
        <w:pStyle w:val="Heading2"/>
        <w:numPr>
          <w:ilvl w:val="0"/>
          <w:numId w:val="0"/>
        </w:numPr>
        <w:tabs>
          <w:tab w:val="left" w:pos="1276"/>
        </w:tabs>
        <w:ind w:left="900"/>
        <w:rPr>
          <w:rFonts w:ascii="Arial" w:hAnsi="Arial" w:cs="Arial"/>
          <w:sz w:val="22"/>
        </w:rPr>
      </w:pPr>
      <w:r>
        <w:rPr>
          <w:rFonts w:ascii="Arial" w:hAnsi="Arial" w:cs="Arial"/>
          <w:sz w:val="22"/>
        </w:rPr>
        <w:t xml:space="preserve">Further information regarding </w:t>
      </w:r>
      <w:r w:rsidR="005B6817" w:rsidRPr="0065296C">
        <w:rPr>
          <w:rFonts w:ascii="Arial" w:hAnsi="Arial" w:cs="Arial"/>
          <w:sz w:val="22"/>
        </w:rPr>
        <w:t xml:space="preserve">the </w:t>
      </w:r>
      <w:r w:rsidR="005B6817">
        <w:rPr>
          <w:rFonts w:ascii="Arial" w:hAnsi="Arial" w:cs="Arial"/>
          <w:sz w:val="22"/>
        </w:rPr>
        <w:t xml:space="preserve">BAGL is </w:t>
      </w:r>
      <w:r w:rsidR="005B6817" w:rsidRPr="0065296C">
        <w:rPr>
          <w:rFonts w:ascii="Arial" w:hAnsi="Arial" w:cs="Arial"/>
          <w:sz w:val="22"/>
        </w:rPr>
        <w:t xml:space="preserve">available in </w:t>
      </w:r>
      <w:r>
        <w:rPr>
          <w:rFonts w:ascii="Arial" w:hAnsi="Arial" w:cs="Arial"/>
          <w:sz w:val="22"/>
        </w:rPr>
        <w:t xml:space="preserve">the </w:t>
      </w:r>
      <w:r w:rsidR="005B6817" w:rsidRPr="0065296C">
        <w:rPr>
          <w:rFonts w:ascii="Arial" w:hAnsi="Arial" w:cs="Arial"/>
          <w:sz w:val="22"/>
        </w:rPr>
        <w:t>Appendix A.</w:t>
      </w:r>
    </w:p>
    <w:p w14:paraId="0AAD8742" w14:textId="77777777" w:rsidR="004B5E08" w:rsidRPr="00BD5C62" w:rsidRDefault="004B5E08" w:rsidP="004B5E08">
      <w:pPr>
        <w:pStyle w:val="Heading2"/>
        <w:numPr>
          <w:ilvl w:val="0"/>
          <w:numId w:val="0"/>
        </w:numPr>
        <w:tabs>
          <w:tab w:val="left" w:pos="1276"/>
        </w:tabs>
        <w:rPr>
          <w:rFonts w:ascii="Arial" w:hAnsi="Arial" w:cs="Arial"/>
          <w:sz w:val="22"/>
        </w:rPr>
      </w:pPr>
    </w:p>
    <w:p w14:paraId="5700831E" w14:textId="0C5898D6" w:rsidR="005B6817" w:rsidRDefault="005B6817" w:rsidP="005B6817">
      <w:pPr>
        <w:pStyle w:val="Subtitle"/>
        <w:rPr>
          <w:rFonts w:ascii="Arial" w:hAnsi="Arial" w:cs="Arial"/>
          <w:sz w:val="22"/>
        </w:rPr>
      </w:pPr>
      <w:r>
        <w:rPr>
          <w:rFonts w:ascii="Arial" w:hAnsi="Arial" w:cs="Arial"/>
          <w:sz w:val="22"/>
        </w:rPr>
        <w:tab/>
        <w:t xml:space="preserve"> </w:t>
      </w:r>
    </w:p>
    <w:p w14:paraId="043F5E1A" w14:textId="4C96666A" w:rsidR="004B5E08" w:rsidRDefault="004B5E08" w:rsidP="006F189E">
      <w:pPr>
        <w:pStyle w:val="Heading2"/>
        <w:tabs>
          <w:tab w:val="num" w:pos="1080"/>
          <w:tab w:val="left" w:pos="1276"/>
        </w:tabs>
        <w:ind w:left="900" w:hanging="900"/>
        <w:rPr>
          <w:rFonts w:ascii="Arial" w:hAnsi="Arial" w:cs="Arial"/>
          <w:sz w:val="22"/>
        </w:rPr>
      </w:pPr>
      <w:r>
        <w:rPr>
          <w:rFonts w:ascii="Arial" w:hAnsi="Arial" w:cs="Arial"/>
          <w:sz w:val="22"/>
        </w:rPr>
        <w:t>For the default investment option,</w:t>
      </w:r>
      <w:r w:rsidR="006F189E">
        <w:rPr>
          <w:rFonts w:ascii="Arial" w:hAnsi="Arial" w:cs="Arial"/>
          <w:sz w:val="22"/>
        </w:rPr>
        <w:t xml:space="preserve"> to the extent that they are rel</w:t>
      </w:r>
      <w:r>
        <w:rPr>
          <w:rFonts w:ascii="Arial" w:hAnsi="Arial" w:cs="Arial"/>
          <w:sz w:val="22"/>
        </w:rPr>
        <w:t>evant, the Trustees’</w:t>
      </w:r>
      <w:r w:rsidR="006F189E">
        <w:rPr>
          <w:rFonts w:ascii="Arial" w:hAnsi="Arial" w:cs="Arial"/>
          <w:sz w:val="22"/>
        </w:rPr>
        <w:t xml:space="preserve"> policy on</w:t>
      </w:r>
      <w:r>
        <w:rPr>
          <w:rFonts w:ascii="Arial" w:hAnsi="Arial" w:cs="Arial"/>
          <w:sz w:val="22"/>
        </w:rPr>
        <w:t xml:space="preserve"> social, environment</w:t>
      </w:r>
      <w:r w:rsidR="006F189E">
        <w:rPr>
          <w:rFonts w:ascii="Arial" w:hAnsi="Arial" w:cs="Arial"/>
          <w:sz w:val="22"/>
        </w:rPr>
        <w:t>al and ethical considerations,</w:t>
      </w:r>
      <w:r>
        <w:rPr>
          <w:rFonts w:ascii="Arial" w:hAnsi="Arial" w:cs="Arial"/>
          <w:sz w:val="22"/>
        </w:rPr>
        <w:t xml:space="preserve"> voting rights</w:t>
      </w:r>
      <w:r w:rsidR="006F189E">
        <w:rPr>
          <w:rFonts w:ascii="Arial" w:hAnsi="Arial" w:cs="Arial"/>
          <w:sz w:val="22"/>
        </w:rPr>
        <w:t>, the realisation of investments and investment risks</w:t>
      </w:r>
      <w:r>
        <w:rPr>
          <w:rFonts w:ascii="Arial" w:hAnsi="Arial" w:cs="Arial"/>
          <w:sz w:val="22"/>
        </w:rPr>
        <w:t xml:space="preserve"> are th</w:t>
      </w:r>
      <w:r w:rsidR="006F189E">
        <w:rPr>
          <w:rFonts w:ascii="Arial" w:hAnsi="Arial" w:cs="Arial"/>
          <w:sz w:val="22"/>
        </w:rPr>
        <w:t>e</w:t>
      </w:r>
      <w:r>
        <w:rPr>
          <w:rFonts w:ascii="Arial" w:hAnsi="Arial" w:cs="Arial"/>
          <w:sz w:val="22"/>
        </w:rPr>
        <w:t xml:space="preserve"> same a</w:t>
      </w:r>
      <w:r w:rsidR="006F189E">
        <w:rPr>
          <w:rFonts w:ascii="Arial" w:hAnsi="Arial" w:cs="Arial"/>
          <w:sz w:val="22"/>
        </w:rPr>
        <w:t>s those set out in section 2, paragraph 3.18 and section 4 respectively.</w:t>
      </w:r>
    </w:p>
    <w:p w14:paraId="15F5808A" w14:textId="21D9B975" w:rsidR="006F189E" w:rsidRPr="006F189E" w:rsidRDefault="006F189E" w:rsidP="006F189E">
      <w:pPr>
        <w:pStyle w:val="Heading2"/>
        <w:numPr>
          <w:ilvl w:val="0"/>
          <w:numId w:val="0"/>
        </w:numPr>
        <w:tabs>
          <w:tab w:val="left" w:pos="1276"/>
        </w:tabs>
        <w:rPr>
          <w:rFonts w:ascii="Arial" w:hAnsi="Arial" w:cs="Arial"/>
          <w:b/>
          <w:sz w:val="22"/>
        </w:rPr>
      </w:pPr>
      <w:r>
        <w:rPr>
          <w:rFonts w:ascii="Arial" w:hAnsi="Arial" w:cs="Arial"/>
          <w:sz w:val="22"/>
        </w:rPr>
        <w:tab/>
      </w:r>
      <w:r w:rsidRPr="006F189E">
        <w:rPr>
          <w:rFonts w:ascii="Arial" w:hAnsi="Arial" w:cs="Arial"/>
          <w:b/>
          <w:sz w:val="22"/>
        </w:rPr>
        <w:t>Reviewing the Default Investment Strategy</w:t>
      </w:r>
    </w:p>
    <w:p w14:paraId="231451FE" w14:textId="77777777" w:rsidR="005B6817" w:rsidRPr="005B6817" w:rsidRDefault="005B6817" w:rsidP="005B6817">
      <w:pPr>
        <w:pStyle w:val="Heading2"/>
        <w:tabs>
          <w:tab w:val="num" w:pos="1080"/>
          <w:tab w:val="left" w:pos="1276"/>
        </w:tabs>
        <w:ind w:left="900" w:hanging="900"/>
        <w:rPr>
          <w:rFonts w:ascii="Arial" w:hAnsi="Arial" w:cs="Arial"/>
          <w:sz w:val="22"/>
        </w:rPr>
      </w:pPr>
      <w:r w:rsidRPr="005B6817">
        <w:rPr>
          <w:rFonts w:ascii="Arial" w:hAnsi="Arial" w:cs="Arial"/>
          <w:sz w:val="22"/>
        </w:rPr>
        <w:t xml:space="preserve">The Trustees undertake a review of the default investment strategy every three years </w:t>
      </w:r>
      <w:proofErr w:type="gramStart"/>
      <w:r w:rsidRPr="005B6817">
        <w:rPr>
          <w:rFonts w:ascii="Arial" w:hAnsi="Arial" w:cs="Arial"/>
          <w:sz w:val="22"/>
        </w:rPr>
        <w:t>in order to</w:t>
      </w:r>
      <w:proofErr w:type="gramEnd"/>
      <w:r w:rsidRPr="005B6817">
        <w:rPr>
          <w:rFonts w:ascii="Arial" w:hAnsi="Arial" w:cs="Arial"/>
          <w:sz w:val="22"/>
        </w:rPr>
        <w:t xml:space="preserve"> ensure it remains appropriate for members, although they will undertake an earlier review if there are any significant changes in investment policy or membership.  In addition, the Trustees monitor the performance of the funds underlying the default investment strategy each quarter.</w:t>
      </w:r>
    </w:p>
    <w:p w14:paraId="4FFFD818" w14:textId="52281FC9" w:rsidR="00195062" w:rsidRPr="00A16028" w:rsidRDefault="005B6817">
      <w:pPr>
        <w:pStyle w:val="Subtitle"/>
        <w:rPr>
          <w:rFonts w:ascii="Arial" w:hAnsi="Arial" w:cs="Arial"/>
          <w:sz w:val="22"/>
        </w:rPr>
      </w:pPr>
      <w:r>
        <w:rPr>
          <w:rFonts w:ascii="Arial" w:hAnsi="Arial" w:cs="Arial"/>
          <w:sz w:val="22"/>
        </w:rPr>
        <w:tab/>
        <w:t xml:space="preserve">Alternative </w:t>
      </w:r>
      <w:r w:rsidR="00195062" w:rsidRPr="00A16028">
        <w:rPr>
          <w:rFonts w:ascii="Arial" w:hAnsi="Arial" w:cs="Arial"/>
          <w:sz w:val="22"/>
        </w:rPr>
        <w:t>Lifestyle</w:t>
      </w:r>
      <w:r w:rsidR="00BD5C62">
        <w:rPr>
          <w:rFonts w:ascii="Arial" w:hAnsi="Arial" w:cs="Arial"/>
          <w:sz w:val="22"/>
        </w:rPr>
        <w:t xml:space="preserve"> Options</w:t>
      </w:r>
    </w:p>
    <w:p w14:paraId="21029B95" w14:textId="77777777" w:rsidR="005B6817" w:rsidRDefault="00502D5B" w:rsidP="00AB5CB8">
      <w:pPr>
        <w:pStyle w:val="Heading2"/>
        <w:tabs>
          <w:tab w:val="left" w:pos="1276"/>
        </w:tabs>
        <w:ind w:left="900" w:hanging="900"/>
        <w:rPr>
          <w:rFonts w:ascii="Arial" w:hAnsi="Arial" w:cs="Arial"/>
          <w:sz w:val="22"/>
        </w:rPr>
      </w:pPr>
      <w:r w:rsidRPr="005A6B47">
        <w:rPr>
          <w:rFonts w:ascii="Arial" w:hAnsi="Arial" w:cs="Arial"/>
          <w:sz w:val="22"/>
        </w:rPr>
        <w:t>The Trustee regularly monitor</w:t>
      </w:r>
      <w:r w:rsidR="003C2488" w:rsidRPr="005A6B47">
        <w:rPr>
          <w:rFonts w:ascii="Arial" w:hAnsi="Arial" w:cs="Arial"/>
          <w:sz w:val="22"/>
        </w:rPr>
        <w:t>s</w:t>
      </w:r>
      <w:r w:rsidRPr="005A6B47">
        <w:rPr>
          <w:rFonts w:ascii="Arial" w:hAnsi="Arial" w:cs="Arial"/>
          <w:sz w:val="22"/>
        </w:rPr>
        <w:t xml:space="preserve"> the needs of member</w:t>
      </w:r>
      <w:r w:rsidR="007B5990" w:rsidRPr="005A6B47">
        <w:rPr>
          <w:rFonts w:ascii="Arial" w:hAnsi="Arial" w:cs="Arial"/>
          <w:sz w:val="22"/>
        </w:rPr>
        <w:t xml:space="preserve">s and following a recent membership analysis </w:t>
      </w:r>
      <w:r w:rsidRPr="005A6B47">
        <w:rPr>
          <w:rFonts w:ascii="Arial" w:hAnsi="Arial" w:cs="Arial"/>
          <w:sz w:val="22"/>
        </w:rPr>
        <w:t>exercise, t</w:t>
      </w:r>
      <w:r w:rsidR="00ED605C" w:rsidRPr="005A6B47">
        <w:rPr>
          <w:rFonts w:ascii="Arial" w:hAnsi="Arial" w:cs="Arial"/>
          <w:sz w:val="22"/>
        </w:rPr>
        <w:t xml:space="preserve">he </w:t>
      </w:r>
      <w:r w:rsidR="00A635A5" w:rsidRPr="005A6B47">
        <w:rPr>
          <w:rFonts w:ascii="Arial" w:hAnsi="Arial" w:cs="Arial"/>
          <w:sz w:val="22"/>
        </w:rPr>
        <w:t>Trustee</w:t>
      </w:r>
      <w:r w:rsidR="00ED605C" w:rsidRPr="005A6B47">
        <w:rPr>
          <w:rFonts w:ascii="Arial" w:hAnsi="Arial" w:cs="Arial"/>
          <w:sz w:val="22"/>
        </w:rPr>
        <w:t xml:space="preserve"> ha</w:t>
      </w:r>
      <w:r w:rsidR="00C46FF8" w:rsidRPr="005A6B47">
        <w:rPr>
          <w:rFonts w:ascii="Arial" w:hAnsi="Arial" w:cs="Arial"/>
          <w:sz w:val="22"/>
        </w:rPr>
        <w:t>s</w:t>
      </w:r>
      <w:r w:rsidR="00ED605C" w:rsidRPr="005A6B47">
        <w:rPr>
          <w:rFonts w:ascii="Arial" w:hAnsi="Arial" w:cs="Arial"/>
          <w:sz w:val="22"/>
        </w:rPr>
        <w:t xml:space="preserve"> decided to offer </w:t>
      </w:r>
      <w:r w:rsidR="005B6817">
        <w:rPr>
          <w:rFonts w:ascii="Arial" w:hAnsi="Arial" w:cs="Arial"/>
          <w:sz w:val="22"/>
        </w:rPr>
        <w:t>four alternative l</w:t>
      </w:r>
      <w:r w:rsidR="00ED605C" w:rsidRPr="005A6B47">
        <w:rPr>
          <w:rFonts w:ascii="Arial" w:hAnsi="Arial" w:cs="Arial"/>
          <w:sz w:val="22"/>
        </w:rPr>
        <w:t xml:space="preserve">ifestyle </w:t>
      </w:r>
      <w:r w:rsidR="00C60247" w:rsidRPr="005A6B47">
        <w:rPr>
          <w:rFonts w:ascii="Arial" w:hAnsi="Arial" w:cs="Arial"/>
          <w:sz w:val="22"/>
        </w:rPr>
        <w:t xml:space="preserve">options </w:t>
      </w:r>
      <w:r w:rsidR="00ED605C" w:rsidRPr="005A6B47">
        <w:rPr>
          <w:rFonts w:ascii="Arial" w:hAnsi="Arial" w:cs="Arial"/>
          <w:sz w:val="22"/>
        </w:rPr>
        <w:t>to provide</w:t>
      </w:r>
      <w:r w:rsidR="00C60247" w:rsidRPr="005A6B47">
        <w:rPr>
          <w:rFonts w:ascii="Arial" w:hAnsi="Arial" w:cs="Arial"/>
          <w:sz w:val="22"/>
        </w:rPr>
        <w:t xml:space="preserve"> pre-defined</w:t>
      </w:r>
      <w:r w:rsidR="00ED605C" w:rsidRPr="005A6B47">
        <w:rPr>
          <w:rFonts w:ascii="Arial" w:hAnsi="Arial" w:cs="Arial"/>
          <w:sz w:val="22"/>
        </w:rPr>
        <w:t xml:space="preserve"> investment </w:t>
      </w:r>
      <w:r w:rsidR="00C60247" w:rsidRPr="005A6B47">
        <w:rPr>
          <w:rFonts w:ascii="Arial" w:hAnsi="Arial" w:cs="Arial"/>
          <w:sz w:val="22"/>
        </w:rPr>
        <w:t xml:space="preserve">strategies </w:t>
      </w:r>
      <w:r w:rsidR="00B21398" w:rsidRPr="005A6B47">
        <w:rPr>
          <w:rFonts w:ascii="Arial" w:hAnsi="Arial" w:cs="Arial"/>
          <w:sz w:val="22"/>
        </w:rPr>
        <w:t xml:space="preserve">that </w:t>
      </w:r>
      <w:r w:rsidR="00C60247" w:rsidRPr="005A6B47">
        <w:rPr>
          <w:rFonts w:ascii="Arial" w:hAnsi="Arial" w:cs="Arial"/>
          <w:sz w:val="22"/>
        </w:rPr>
        <w:t>each target a different retirement</w:t>
      </w:r>
      <w:r w:rsidR="005A6B47" w:rsidRPr="0065296C">
        <w:rPr>
          <w:rFonts w:ascii="Arial" w:hAnsi="Arial" w:cs="Arial"/>
          <w:sz w:val="22"/>
        </w:rPr>
        <w:t xml:space="preserve"> and risk </w:t>
      </w:r>
      <w:r w:rsidR="0052407D" w:rsidRPr="005A6B47">
        <w:rPr>
          <w:rFonts w:ascii="Arial" w:hAnsi="Arial" w:cs="Arial"/>
          <w:sz w:val="22"/>
        </w:rPr>
        <w:t xml:space="preserve">objectives. </w:t>
      </w:r>
    </w:p>
    <w:p w14:paraId="4FFFD81A" w14:textId="07AFAC59" w:rsidR="00195062" w:rsidRPr="005B6817" w:rsidRDefault="005B6817" w:rsidP="006E1FF6">
      <w:pPr>
        <w:pStyle w:val="Heading2"/>
        <w:tabs>
          <w:tab w:val="left" w:pos="1276"/>
        </w:tabs>
        <w:ind w:left="900" w:hanging="900"/>
        <w:rPr>
          <w:rFonts w:ascii="Arial" w:hAnsi="Arial" w:cs="Arial"/>
          <w:sz w:val="22"/>
        </w:rPr>
      </w:pPr>
      <w:r w:rsidRPr="005B6817">
        <w:rPr>
          <w:rFonts w:ascii="Arial" w:hAnsi="Arial" w:cs="Arial"/>
          <w:sz w:val="22"/>
        </w:rPr>
        <w:t xml:space="preserve">Each </w:t>
      </w:r>
      <w:proofErr w:type="spellStart"/>
      <w:r w:rsidRPr="005B6817">
        <w:rPr>
          <w:rFonts w:ascii="Arial" w:hAnsi="Arial" w:cs="Arial"/>
          <w:sz w:val="22"/>
        </w:rPr>
        <w:t>life</w:t>
      </w:r>
      <w:r w:rsidR="00C60247" w:rsidRPr="005B6817">
        <w:rPr>
          <w:rFonts w:ascii="Arial" w:hAnsi="Arial" w:cs="Arial"/>
          <w:sz w:val="22"/>
        </w:rPr>
        <w:t>tyle</w:t>
      </w:r>
      <w:proofErr w:type="spellEnd"/>
      <w:r w:rsidR="00C60247" w:rsidRPr="005B6817">
        <w:rPr>
          <w:rFonts w:ascii="Arial" w:hAnsi="Arial" w:cs="Arial"/>
          <w:sz w:val="22"/>
        </w:rPr>
        <w:t xml:space="preserve"> </w:t>
      </w:r>
      <w:r w:rsidR="00ED605C" w:rsidRPr="005B6817">
        <w:rPr>
          <w:rFonts w:ascii="Arial" w:hAnsi="Arial" w:cs="Arial"/>
          <w:sz w:val="22"/>
        </w:rPr>
        <w:t>automatically switch</w:t>
      </w:r>
      <w:r w:rsidRPr="005B6817">
        <w:rPr>
          <w:rFonts w:ascii="Arial" w:hAnsi="Arial" w:cs="Arial"/>
          <w:sz w:val="22"/>
        </w:rPr>
        <w:t>es</w:t>
      </w:r>
      <w:r w:rsidR="00ED605C" w:rsidRPr="005B6817">
        <w:rPr>
          <w:rFonts w:ascii="Arial" w:hAnsi="Arial" w:cs="Arial"/>
          <w:sz w:val="22"/>
        </w:rPr>
        <w:t xml:space="preserve"> assets from return</w:t>
      </w:r>
      <w:r w:rsidR="00581E9A" w:rsidRPr="005B6817">
        <w:rPr>
          <w:rFonts w:ascii="Arial" w:hAnsi="Arial" w:cs="Arial"/>
          <w:sz w:val="22"/>
        </w:rPr>
        <w:t>-</w:t>
      </w:r>
      <w:r w:rsidR="00ED605C" w:rsidRPr="005B6817">
        <w:rPr>
          <w:rFonts w:ascii="Arial" w:hAnsi="Arial" w:cs="Arial"/>
          <w:sz w:val="22"/>
        </w:rPr>
        <w:t xml:space="preserve">seeking assets to assets </w:t>
      </w:r>
      <w:r w:rsidR="00C60247" w:rsidRPr="005B6817">
        <w:rPr>
          <w:rFonts w:ascii="Arial" w:hAnsi="Arial" w:cs="Arial"/>
          <w:sz w:val="22"/>
        </w:rPr>
        <w:t xml:space="preserve">which better reflect the target retirement objective </w:t>
      </w:r>
      <w:r w:rsidR="00ED605C" w:rsidRPr="005B6817">
        <w:rPr>
          <w:rFonts w:ascii="Arial" w:hAnsi="Arial" w:cs="Arial"/>
          <w:sz w:val="22"/>
        </w:rPr>
        <w:t xml:space="preserve">over a period </w:t>
      </w:r>
      <w:r w:rsidR="00C60247" w:rsidRPr="005B6817">
        <w:rPr>
          <w:rFonts w:ascii="Arial" w:hAnsi="Arial" w:cs="Arial"/>
          <w:sz w:val="22"/>
        </w:rPr>
        <w:t xml:space="preserve">approaching </w:t>
      </w:r>
      <w:r w:rsidR="00ED605C" w:rsidRPr="005B6817">
        <w:rPr>
          <w:rFonts w:ascii="Arial" w:hAnsi="Arial" w:cs="Arial"/>
          <w:sz w:val="22"/>
        </w:rPr>
        <w:t>a member’s planned retirement age.</w:t>
      </w:r>
      <w:r w:rsidR="00BD5163">
        <w:rPr>
          <w:rFonts w:ascii="Arial" w:hAnsi="Arial" w:cs="Arial"/>
          <w:sz w:val="22"/>
        </w:rPr>
        <w:t xml:space="preserve">  </w:t>
      </w:r>
      <w:r w:rsidR="00BD5C62" w:rsidRPr="005B6817">
        <w:rPr>
          <w:rFonts w:ascii="Arial" w:hAnsi="Arial" w:cs="Arial"/>
          <w:sz w:val="22"/>
        </w:rPr>
        <w:t xml:space="preserve">Details of </w:t>
      </w:r>
      <w:r w:rsidRPr="005B6817">
        <w:rPr>
          <w:rFonts w:ascii="Arial" w:hAnsi="Arial" w:cs="Arial"/>
          <w:sz w:val="22"/>
        </w:rPr>
        <w:t xml:space="preserve">the </w:t>
      </w:r>
      <w:r w:rsidR="0052407D" w:rsidRPr="005B6817">
        <w:rPr>
          <w:rFonts w:ascii="Arial" w:hAnsi="Arial" w:cs="Arial"/>
          <w:sz w:val="22"/>
        </w:rPr>
        <w:t>alternative</w:t>
      </w:r>
      <w:r w:rsidR="00BD5C62" w:rsidRPr="005B6817">
        <w:rPr>
          <w:rFonts w:ascii="Arial" w:hAnsi="Arial" w:cs="Arial"/>
          <w:sz w:val="22"/>
        </w:rPr>
        <w:t xml:space="preserve"> </w:t>
      </w:r>
      <w:r w:rsidR="0052407D" w:rsidRPr="005B6817">
        <w:rPr>
          <w:rFonts w:ascii="Arial" w:hAnsi="Arial" w:cs="Arial"/>
          <w:sz w:val="22"/>
        </w:rPr>
        <w:t>lifecycle</w:t>
      </w:r>
      <w:r w:rsidR="00BD5C62" w:rsidRPr="005B6817">
        <w:rPr>
          <w:rFonts w:ascii="Arial" w:hAnsi="Arial" w:cs="Arial"/>
          <w:sz w:val="22"/>
        </w:rPr>
        <w:t xml:space="preserve"> options are available in the Appendix A.</w:t>
      </w:r>
    </w:p>
    <w:p w14:paraId="040515F6" w14:textId="16675A23" w:rsidR="005B6817" w:rsidRPr="00A16028" w:rsidRDefault="005B6817" w:rsidP="005B6817">
      <w:pPr>
        <w:pStyle w:val="Subtitle"/>
        <w:ind w:left="900"/>
        <w:rPr>
          <w:rFonts w:ascii="Arial" w:hAnsi="Arial" w:cs="Arial"/>
          <w:sz w:val="22"/>
        </w:rPr>
      </w:pPr>
      <w:r>
        <w:rPr>
          <w:rFonts w:ascii="Arial" w:hAnsi="Arial" w:cs="Arial"/>
          <w:sz w:val="22"/>
        </w:rPr>
        <w:t>Self-select funds</w:t>
      </w:r>
    </w:p>
    <w:p w14:paraId="15F9BF64" w14:textId="77777777" w:rsidR="005B6817" w:rsidRDefault="00195062" w:rsidP="00AB5CB8">
      <w:pPr>
        <w:pStyle w:val="Heading2"/>
        <w:tabs>
          <w:tab w:val="left" w:pos="1276"/>
        </w:tabs>
        <w:ind w:left="900" w:hanging="900"/>
        <w:rPr>
          <w:rFonts w:ascii="Arial" w:hAnsi="Arial" w:cs="Arial"/>
          <w:sz w:val="22"/>
        </w:rPr>
      </w:pPr>
      <w:r w:rsidRPr="00BD5C62">
        <w:rPr>
          <w:rFonts w:ascii="Arial" w:hAnsi="Arial" w:cs="Arial"/>
          <w:sz w:val="22"/>
        </w:rPr>
        <w:t xml:space="preserve">The </w:t>
      </w:r>
      <w:r w:rsidR="00A635A5" w:rsidRPr="00BD5C62">
        <w:rPr>
          <w:rFonts w:ascii="Arial" w:hAnsi="Arial" w:cs="Arial"/>
          <w:sz w:val="22"/>
        </w:rPr>
        <w:t>Trustee</w:t>
      </w:r>
      <w:r w:rsidRPr="00BD5C62">
        <w:rPr>
          <w:rFonts w:ascii="Arial" w:hAnsi="Arial" w:cs="Arial"/>
          <w:sz w:val="22"/>
        </w:rPr>
        <w:t xml:space="preserve"> also wish</w:t>
      </w:r>
      <w:r w:rsidR="00C46FF8" w:rsidRPr="00BD5C62">
        <w:rPr>
          <w:rFonts w:ascii="Arial" w:hAnsi="Arial" w:cs="Arial"/>
          <w:sz w:val="22"/>
        </w:rPr>
        <w:t>es</w:t>
      </w:r>
      <w:r w:rsidRPr="00BD5C62">
        <w:rPr>
          <w:rFonts w:ascii="Arial" w:hAnsi="Arial" w:cs="Arial"/>
          <w:sz w:val="22"/>
        </w:rPr>
        <w:t xml:space="preserve"> to give members a reasonable degree of freedom over the investment policy of their accounts.  </w:t>
      </w:r>
      <w:proofErr w:type="gramStart"/>
      <w:r w:rsidRPr="00BD5C62">
        <w:rPr>
          <w:rFonts w:ascii="Arial" w:hAnsi="Arial" w:cs="Arial"/>
          <w:sz w:val="22"/>
        </w:rPr>
        <w:t>Consequently</w:t>
      </w:r>
      <w:proofErr w:type="gramEnd"/>
      <w:r w:rsidRPr="00BD5C62">
        <w:rPr>
          <w:rFonts w:ascii="Arial" w:hAnsi="Arial" w:cs="Arial"/>
          <w:sz w:val="22"/>
        </w:rPr>
        <w:t xml:space="preserve"> </w:t>
      </w:r>
      <w:r w:rsidR="00E43E95" w:rsidRPr="00BD5C62">
        <w:rPr>
          <w:rFonts w:ascii="Arial" w:hAnsi="Arial" w:cs="Arial"/>
          <w:sz w:val="22"/>
        </w:rPr>
        <w:t>an appropriate selection of</w:t>
      </w:r>
      <w:r w:rsidRPr="00BD5C62">
        <w:rPr>
          <w:rFonts w:ascii="Arial" w:hAnsi="Arial" w:cs="Arial"/>
          <w:sz w:val="22"/>
        </w:rPr>
        <w:t xml:space="preserve"> </w:t>
      </w:r>
      <w:r w:rsidR="00E43E95" w:rsidRPr="00BD5C62">
        <w:rPr>
          <w:rFonts w:ascii="Arial" w:hAnsi="Arial" w:cs="Arial"/>
          <w:sz w:val="22"/>
        </w:rPr>
        <w:t xml:space="preserve">passively and actively managed </w:t>
      </w:r>
      <w:r w:rsidRPr="00BD5C62">
        <w:rPr>
          <w:rFonts w:ascii="Arial" w:hAnsi="Arial" w:cs="Arial"/>
          <w:sz w:val="22"/>
        </w:rPr>
        <w:t xml:space="preserve">funds </w:t>
      </w:r>
      <w:r w:rsidR="00F22B1B" w:rsidRPr="00BD5C62">
        <w:rPr>
          <w:rFonts w:ascii="Arial" w:hAnsi="Arial" w:cs="Arial"/>
          <w:sz w:val="22"/>
        </w:rPr>
        <w:t>are</w:t>
      </w:r>
      <w:r w:rsidRPr="00BD5C62">
        <w:rPr>
          <w:rFonts w:ascii="Arial" w:hAnsi="Arial" w:cs="Arial"/>
          <w:sz w:val="22"/>
        </w:rPr>
        <w:t xml:space="preserve"> made available </w:t>
      </w:r>
      <w:r w:rsidR="00E43E95" w:rsidRPr="00BD5C62">
        <w:rPr>
          <w:rFonts w:ascii="Arial" w:hAnsi="Arial" w:cs="Arial"/>
          <w:sz w:val="22"/>
        </w:rPr>
        <w:t xml:space="preserve">through </w:t>
      </w:r>
      <w:r w:rsidR="00B21398" w:rsidRPr="00BD5C62">
        <w:rPr>
          <w:rFonts w:ascii="Arial" w:hAnsi="Arial" w:cs="Arial"/>
          <w:sz w:val="22"/>
        </w:rPr>
        <w:t>Fidelity</w:t>
      </w:r>
      <w:r w:rsidR="00E43E95" w:rsidRPr="00BD5C62">
        <w:rPr>
          <w:rFonts w:ascii="Arial" w:hAnsi="Arial" w:cs="Arial"/>
          <w:sz w:val="22"/>
        </w:rPr>
        <w:t xml:space="preserve">’s platform </w:t>
      </w:r>
      <w:r w:rsidRPr="00BD5C62">
        <w:rPr>
          <w:rFonts w:ascii="Arial" w:hAnsi="Arial" w:cs="Arial"/>
          <w:sz w:val="22"/>
        </w:rPr>
        <w:t>for those members who elect to choose their own customised asset mix in prefer</w:t>
      </w:r>
      <w:r w:rsidR="00C1741D" w:rsidRPr="00BD5C62">
        <w:rPr>
          <w:rFonts w:ascii="Arial" w:hAnsi="Arial" w:cs="Arial"/>
          <w:sz w:val="22"/>
        </w:rPr>
        <w:t>ence to the lifestyle approach</w:t>
      </w:r>
      <w:r w:rsidR="00E43E95" w:rsidRPr="00BD5C62">
        <w:rPr>
          <w:rFonts w:ascii="Arial" w:hAnsi="Arial" w:cs="Arial"/>
          <w:sz w:val="22"/>
        </w:rPr>
        <w:t>.</w:t>
      </w:r>
      <w:r w:rsidR="00BD5C62" w:rsidRPr="0065296C">
        <w:rPr>
          <w:rFonts w:ascii="Arial" w:hAnsi="Arial" w:cs="Arial"/>
          <w:sz w:val="22"/>
        </w:rPr>
        <w:t xml:space="preserve"> </w:t>
      </w:r>
    </w:p>
    <w:p w14:paraId="776AA960" w14:textId="0169718D" w:rsidR="004A19A8" w:rsidRPr="005B6817" w:rsidRDefault="00BD5C62" w:rsidP="0065296C">
      <w:pPr>
        <w:pStyle w:val="Heading2"/>
        <w:tabs>
          <w:tab w:val="left" w:pos="1276"/>
        </w:tabs>
        <w:ind w:left="900" w:hanging="900"/>
        <w:rPr>
          <w:rFonts w:ascii="Arial" w:hAnsi="Arial" w:cs="Arial"/>
          <w:sz w:val="22"/>
        </w:rPr>
      </w:pPr>
      <w:r w:rsidRPr="0065296C">
        <w:rPr>
          <w:rFonts w:ascii="Arial" w:hAnsi="Arial" w:cs="Arial"/>
          <w:sz w:val="22"/>
        </w:rPr>
        <w:t xml:space="preserve">Details of the </w:t>
      </w:r>
      <w:r w:rsidR="00BD5163">
        <w:rPr>
          <w:rFonts w:ascii="Arial" w:hAnsi="Arial" w:cs="Arial"/>
          <w:sz w:val="22"/>
        </w:rPr>
        <w:t xml:space="preserve">self-select fund range are </w:t>
      </w:r>
      <w:r w:rsidRPr="0065296C">
        <w:rPr>
          <w:rFonts w:ascii="Arial" w:hAnsi="Arial" w:cs="Arial"/>
          <w:sz w:val="22"/>
        </w:rPr>
        <w:t>available in the Appendix B.</w:t>
      </w:r>
    </w:p>
    <w:p w14:paraId="7665A0CF" w14:textId="58DD59F9" w:rsidR="00990CC1" w:rsidRPr="00A16028" w:rsidRDefault="00990CC1" w:rsidP="00990CC1">
      <w:pPr>
        <w:pStyle w:val="Subtitle"/>
        <w:ind w:left="900"/>
        <w:rPr>
          <w:rFonts w:ascii="Arial" w:hAnsi="Arial" w:cs="Arial"/>
          <w:sz w:val="22"/>
        </w:rPr>
      </w:pPr>
      <w:r w:rsidRPr="00A16028">
        <w:rPr>
          <w:rFonts w:ascii="Arial" w:hAnsi="Arial" w:cs="Arial"/>
          <w:sz w:val="22"/>
        </w:rPr>
        <w:t>Expected risk and return</w:t>
      </w:r>
    </w:p>
    <w:p w14:paraId="69B80841" w14:textId="744E3C72" w:rsidR="00990CC1" w:rsidRPr="00A16028" w:rsidRDefault="00990CC1" w:rsidP="00990CC1">
      <w:pPr>
        <w:pStyle w:val="Heading2"/>
        <w:tabs>
          <w:tab w:val="left" w:pos="1276"/>
        </w:tabs>
        <w:ind w:left="900" w:hanging="900"/>
        <w:rPr>
          <w:rFonts w:ascii="Arial" w:hAnsi="Arial" w:cs="Arial"/>
          <w:sz w:val="22"/>
        </w:rPr>
      </w:pPr>
      <w:r w:rsidRPr="00A16028">
        <w:rPr>
          <w:rFonts w:ascii="Arial" w:hAnsi="Arial" w:cs="Arial"/>
          <w:sz w:val="22"/>
        </w:rPr>
        <w:t>The investment options invest in the following asset classes and have the following risk and expected return characteristics:</w:t>
      </w:r>
    </w:p>
    <w:p w14:paraId="29DD54DC" w14:textId="5E6503C7" w:rsidR="00990CC1" w:rsidRPr="00A16028" w:rsidRDefault="00990CC1" w:rsidP="006833EC">
      <w:pPr>
        <w:pStyle w:val="ListBullet2"/>
        <w:tabs>
          <w:tab w:val="clear" w:pos="1701"/>
          <w:tab w:val="num" w:pos="1297"/>
        </w:tabs>
        <w:spacing w:before="140" w:after="140"/>
        <w:ind w:left="1299"/>
        <w:rPr>
          <w:rFonts w:ascii="Arial" w:hAnsi="Arial" w:cs="Arial"/>
          <w:sz w:val="22"/>
        </w:rPr>
      </w:pPr>
      <w:r w:rsidRPr="00A16028">
        <w:rPr>
          <w:rFonts w:ascii="Arial" w:hAnsi="Arial" w:cs="Arial"/>
          <w:sz w:val="22"/>
        </w:rPr>
        <w:t xml:space="preserve">Equities – expected to produce returns </w:t>
      </w:r>
      <w:proofErr w:type="gramStart"/>
      <w:r w:rsidRPr="00A16028">
        <w:rPr>
          <w:rFonts w:ascii="Arial" w:hAnsi="Arial" w:cs="Arial"/>
          <w:sz w:val="22"/>
        </w:rPr>
        <w:t>in excess of</w:t>
      </w:r>
      <w:proofErr w:type="gramEnd"/>
      <w:r w:rsidRPr="00A16028">
        <w:rPr>
          <w:rFonts w:ascii="Arial" w:hAnsi="Arial" w:cs="Arial"/>
          <w:sz w:val="22"/>
        </w:rPr>
        <w:t xml:space="preserve"> rates of salary and price inflation in the medium to long term. Capital values may be highly volatile in the short term.</w:t>
      </w:r>
    </w:p>
    <w:p w14:paraId="644ED796" w14:textId="575707B6" w:rsidR="00990CC1" w:rsidRPr="00A16028" w:rsidRDefault="00990CC1" w:rsidP="006833EC">
      <w:pPr>
        <w:pStyle w:val="ListBullet2"/>
        <w:tabs>
          <w:tab w:val="clear" w:pos="1701"/>
          <w:tab w:val="num" w:pos="1297"/>
        </w:tabs>
        <w:spacing w:before="140" w:after="140"/>
        <w:ind w:left="1299"/>
        <w:rPr>
          <w:rFonts w:ascii="Arial" w:hAnsi="Arial" w:cs="Arial"/>
          <w:sz w:val="22"/>
        </w:rPr>
      </w:pPr>
      <w:r w:rsidRPr="00A16028">
        <w:rPr>
          <w:rFonts w:ascii="Arial" w:hAnsi="Arial" w:cs="Arial"/>
          <w:sz w:val="22"/>
        </w:rPr>
        <w:t xml:space="preserve">Diversified assets – expected to produce returns </w:t>
      </w:r>
      <w:proofErr w:type="gramStart"/>
      <w:r w:rsidRPr="00A16028">
        <w:rPr>
          <w:rFonts w:ascii="Arial" w:hAnsi="Arial" w:cs="Arial"/>
          <w:sz w:val="22"/>
        </w:rPr>
        <w:t>in excess of</w:t>
      </w:r>
      <w:proofErr w:type="gramEnd"/>
      <w:r w:rsidRPr="00A16028">
        <w:rPr>
          <w:rFonts w:ascii="Arial" w:hAnsi="Arial" w:cs="Arial"/>
          <w:sz w:val="22"/>
        </w:rPr>
        <w:t xml:space="preserve"> rates of salary and price inflation in the medium to long term. Capital values may be volatile in the short term although this is expected to be less than for equities.</w:t>
      </w:r>
    </w:p>
    <w:p w14:paraId="6E3EECB4" w14:textId="63964058" w:rsidR="00990CC1" w:rsidRPr="00A16028" w:rsidRDefault="00990CC1" w:rsidP="006833EC">
      <w:pPr>
        <w:pStyle w:val="ListBullet2"/>
        <w:tabs>
          <w:tab w:val="clear" w:pos="1701"/>
          <w:tab w:val="num" w:pos="1297"/>
        </w:tabs>
        <w:spacing w:before="140" w:after="140"/>
        <w:ind w:left="1299"/>
        <w:rPr>
          <w:rFonts w:ascii="Arial" w:hAnsi="Arial" w:cs="Arial"/>
          <w:sz w:val="22"/>
        </w:rPr>
      </w:pPr>
      <w:r w:rsidRPr="00A16028">
        <w:rPr>
          <w:rFonts w:ascii="Arial" w:hAnsi="Arial" w:cs="Arial"/>
          <w:sz w:val="22"/>
        </w:rPr>
        <w:t xml:space="preserve">Bonds – capital values are likely to be less volatile than equities but tend to produce lower returns in the medium to long term. The value of bonds </w:t>
      </w:r>
      <w:proofErr w:type="gramStart"/>
      <w:r w:rsidRPr="00A16028">
        <w:rPr>
          <w:rFonts w:ascii="Arial" w:hAnsi="Arial" w:cs="Arial"/>
          <w:sz w:val="22"/>
        </w:rPr>
        <w:t>are</w:t>
      </w:r>
      <w:proofErr w:type="gramEnd"/>
      <w:r w:rsidRPr="00A16028">
        <w:rPr>
          <w:rFonts w:ascii="Arial" w:hAnsi="Arial" w:cs="Arial"/>
          <w:sz w:val="22"/>
        </w:rPr>
        <w:t xml:space="preserve"> expected to move broadly in line with the price of annuities, providing some protection to the </w:t>
      </w:r>
      <w:r w:rsidRPr="00A16028">
        <w:rPr>
          <w:rFonts w:ascii="Arial" w:hAnsi="Arial" w:cs="Arial"/>
          <w:sz w:val="22"/>
        </w:rPr>
        <w:lastRenderedPageBreak/>
        <w:t xml:space="preserve">‘purchasing power’ of a member’s account </w:t>
      </w:r>
      <w:r w:rsidR="00E27DD8">
        <w:rPr>
          <w:rFonts w:ascii="Arial" w:hAnsi="Arial" w:cs="Arial"/>
          <w:sz w:val="22"/>
        </w:rPr>
        <w:t>who wishes to buy an annuity in the near future.</w:t>
      </w:r>
    </w:p>
    <w:p w14:paraId="1F592EF6" w14:textId="162F4CBC" w:rsidR="00990CC1" w:rsidRPr="00A16028" w:rsidRDefault="00990CC1" w:rsidP="006833EC">
      <w:pPr>
        <w:pStyle w:val="ListBullet2"/>
        <w:tabs>
          <w:tab w:val="clear" w:pos="1701"/>
          <w:tab w:val="num" w:pos="1297"/>
        </w:tabs>
        <w:spacing w:before="140" w:after="140"/>
        <w:ind w:left="1299"/>
        <w:rPr>
          <w:rFonts w:ascii="Arial" w:hAnsi="Arial" w:cs="Arial"/>
          <w:sz w:val="22"/>
        </w:rPr>
      </w:pPr>
      <w:r w:rsidRPr="00A16028">
        <w:rPr>
          <w:rFonts w:ascii="Arial" w:hAnsi="Arial" w:cs="Arial"/>
          <w:sz w:val="22"/>
        </w:rPr>
        <w:t>Cash – low risk to capital with limited investment returns associated with the low risk nature of the assets</w:t>
      </w:r>
      <w:r w:rsidR="00E27DD8">
        <w:rPr>
          <w:rFonts w:ascii="Arial" w:hAnsi="Arial" w:cs="Arial"/>
          <w:sz w:val="22"/>
        </w:rPr>
        <w:t xml:space="preserve">. </w:t>
      </w:r>
    </w:p>
    <w:p w14:paraId="59A7A1F3" w14:textId="77777777" w:rsidR="0026517D" w:rsidRPr="00A16028" w:rsidRDefault="0026517D" w:rsidP="0026517D">
      <w:pPr>
        <w:pStyle w:val="Subtitle"/>
        <w:rPr>
          <w:rFonts w:ascii="Arial" w:hAnsi="Arial" w:cs="Arial"/>
          <w:sz w:val="22"/>
        </w:rPr>
      </w:pPr>
      <w:r w:rsidRPr="00A16028">
        <w:rPr>
          <w:rFonts w:ascii="Arial" w:hAnsi="Arial" w:cs="Arial"/>
          <w:sz w:val="22"/>
        </w:rPr>
        <w:tab/>
        <w:t>Diversification</w:t>
      </w:r>
    </w:p>
    <w:p w14:paraId="51C316FE" w14:textId="77777777" w:rsidR="00D746ED" w:rsidRPr="00A16028" w:rsidRDefault="0026517D" w:rsidP="00D746ED">
      <w:pPr>
        <w:pStyle w:val="Heading2"/>
        <w:tabs>
          <w:tab w:val="left" w:pos="1276"/>
        </w:tabs>
        <w:ind w:left="900" w:hanging="900"/>
        <w:rPr>
          <w:rFonts w:ascii="Arial" w:hAnsi="Arial" w:cs="Arial"/>
          <w:sz w:val="22"/>
        </w:rPr>
      </w:pPr>
      <w:r w:rsidRPr="00A16028">
        <w:rPr>
          <w:rFonts w:ascii="Arial" w:hAnsi="Arial" w:cs="Arial"/>
          <w:sz w:val="22"/>
        </w:rPr>
        <w:t xml:space="preserve">The range of </w:t>
      </w:r>
      <w:r w:rsidR="00086A10" w:rsidRPr="00A16028">
        <w:rPr>
          <w:rFonts w:ascii="Arial" w:hAnsi="Arial" w:cs="Arial"/>
          <w:sz w:val="22"/>
        </w:rPr>
        <w:t xml:space="preserve">investment </w:t>
      </w:r>
      <w:r w:rsidRPr="00A16028">
        <w:rPr>
          <w:rFonts w:ascii="Arial" w:hAnsi="Arial" w:cs="Arial"/>
          <w:sz w:val="22"/>
        </w:rPr>
        <w:t>funds</w:t>
      </w:r>
      <w:r w:rsidR="00086A10" w:rsidRPr="00A16028">
        <w:rPr>
          <w:rFonts w:ascii="Arial" w:hAnsi="Arial" w:cs="Arial"/>
          <w:sz w:val="22"/>
        </w:rPr>
        <w:t xml:space="preserve"> available </w:t>
      </w:r>
      <w:r w:rsidRPr="00A16028">
        <w:rPr>
          <w:rFonts w:ascii="Arial" w:hAnsi="Arial" w:cs="Arial"/>
          <w:sz w:val="22"/>
        </w:rPr>
        <w:t>was chosen to allow members to achieve an adequate level of diversification.</w:t>
      </w:r>
    </w:p>
    <w:p w14:paraId="0EF2C893" w14:textId="2F9F76D4" w:rsidR="00D746ED" w:rsidRPr="00A16028" w:rsidRDefault="00D746ED" w:rsidP="00D746ED">
      <w:pPr>
        <w:pStyle w:val="Heading2"/>
        <w:tabs>
          <w:tab w:val="left" w:pos="1276"/>
        </w:tabs>
        <w:ind w:left="900" w:hanging="900"/>
        <w:rPr>
          <w:rFonts w:ascii="Arial" w:hAnsi="Arial" w:cs="Arial"/>
          <w:sz w:val="22"/>
        </w:rPr>
      </w:pPr>
      <w:r w:rsidRPr="00A16028">
        <w:rPr>
          <w:rFonts w:ascii="Arial" w:hAnsi="Arial" w:cs="Arial"/>
          <w:sz w:val="22"/>
        </w:rPr>
        <w:t xml:space="preserve">Further, in certain asset classes and investment funds (particularly those utilising active management) the </w:t>
      </w:r>
      <w:r w:rsidR="00014681">
        <w:rPr>
          <w:rFonts w:ascii="Arial" w:hAnsi="Arial" w:cs="Arial"/>
          <w:sz w:val="22"/>
        </w:rPr>
        <w:t>Plan</w:t>
      </w:r>
      <w:r w:rsidR="00014681" w:rsidRPr="00A16028">
        <w:rPr>
          <w:rFonts w:ascii="Arial" w:hAnsi="Arial" w:cs="Arial"/>
          <w:sz w:val="22"/>
        </w:rPr>
        <w:t xml:space="preserve"> </w:t>
      </w:r>
      <w:r w:rsidRPr="00A16028">
        <w:rPr>
          <w:rFonts w:ascii="Arial" w:hAnsi="Arial" w:cs="Arial"/>
          <w:sz w:val="22"/>
        </w:rPr>
        <w:t>utilises multiple investment managers to ensure manager diversification.</w:t>
      </w:r>
    </w:p>
    <w:p w14:paraId="179429D8" w14:textId="382CD9B9" w:rsidR="00086A10" w:rsidRPr="00A16028" w:rsidRDefault="005D7DBB">
      <w:pPr>
        <w:pStyle w:val="Heading2"/>
        <w:tabs>
          <w:tab w:val="left" w:pos="1276"/>
        </w:tabs>
        <w:ind w:left="900" w:hanging="900"/>
        <w:rPr>
          <w:rFonts w:ascii="Arial" w:hAnsi="Arial" w:cs="Arial"/>
          <w:sz w:val="22"/>
        </w:rPr>
      </w:pPr>
      <w:r>
        <w:rPr>
          <w:rFonts w:ascii="Arial" w:hAnsi="Arial" w:cs="Arial"/>
          <w:noProof/>
          <w:sz w:val="22"/>
        </w:rPr>
        <mc:AlternateContent>
          <mc:Choice Requires="wps">
            <w:drawing>
              <wp:anchor distT="0" distB="0" distL="114300" distR="114300" simplePos="0" relativeHeight="251659264" behindDoc="0" locked="0" layoutInCell="1" allowOverlap="1" wp14:anchorId="5F63407D" wp14:editId="6414F04A">
                <wp:simplePos x="0" y="0"/>
                <wp:positionH relativeFrom="column">
                  <wp:posOffset>-82610</wp:posOffset>
                </wp:positionH>
                <wp:positionV relativeFrom="page">
                  <wp:posOffset>440055</wp:posOffset>
                </wp:positionV>
                <wp:extent cx="845185" cy="508635"/>
                <wp:effectExtent l="0" t="0" r="12065" b="24765"/>
                <wp:wrapNone/>
                <wp:docPr id="1" name="Rectangle 1"/>
                <wp:cNvGraphicFramePr/>
                <a:graphic xmlns:a="http://schemas.openxmlformats.org/drawingml/2006/main">
                  <a:graphicData uri="http://schemas.microsoft.com/office/word/2010/wordprocessingShape">
                    <wps:wsp>
                      <wps:cNvSpPr/>
                      <wps:spPr>
                        <a:xfrm>
                          <a:off x="0" y="0"/>
                          <a:ext cx="845185" cy="5086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76125" id="Rectangle 1" o:spid="_x0000_s1026" style="position:absolute;margin-left:-6.5pt;margin-top:34.65pt;width:66.55pt;height:40.05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" fillcolor="white [3212]" strokecolor="white [3212]" strokeweight="2pt">
                <w10:wrap anchory="page"/>
              </v:rect>
            </w:pict>
          </mc:Fallback>
        </mc:AlternateContent>
      </w:r>
      <w:r w:rsidR="00086A10" w:rsidRPr="00A16028">
        <w:rPr>
          <w:rFonts w:ascii="Arial" w:hAnsi="Arial" w:cs="Arial"/>
          <w:sz w:val="22"/>
        </w:rPr>
        <w:t xml:space="preserve">The Trustee believes that the provision of the investment funds and the </w:t>
      </w:r>
      <w:r w:rsidR="00EA7C62">
        <w:rPr>
          <w:rFonts w:ascii="Arial" w:hAnsi="Arial" w:cs="Arial"/>
          <w:sz w:val="22"/>
        </w:rPr>
        <w:t>five open</w:t>
      </w:r>
      <w:r w:rsidR="00EA7C62" w:rsidRPr="00A16028">
        <w:rPr>
          <w:rFonts w:ascii="Arial" w:hAnsi="Arial" w:cs="Arial"/>
          <w:sz w:val="22"/>
        </w:rPr>
        <w:t xml:space="preserve"> </w:t>
      </w:r>
      <w:r w:rsidR="00086A10" w:rsidRPr="00A16028">
        <w:rPr>
          <w:rFonts w:ascii="Arial" w:hAnsi="Arial" w:cs="Arial"/>
          <w:sz w:val="22"/>
        </w:rPr>
        <w:t xml:space="preserve">lifestyle strategies meet the </w:t>
      </w:r>
      <w:r w:rsidR="00014681">
        <w:rPr>
          <w:rFonts w:ascii="Arial" w:hAnsi="Arial" w:cs="Arial"/>
          <w:sz w:val="22"/>
        </w:rPr>
        <w:t>Plan</w:t>
      </w:r>
      <w:r w:rsidR="00014681" w:rsidRPr="00A16028">
        <w:rPr>
          <w:rFonts w:ascii="Arial" w:hAnsi="Arial" w:cs="Arial"/>
          <w:sz w:val="22"/>
        </w:rPr>
        <w:t xml:space="preserve">’s </w:t>
      </w:r>
      <w:r w:rsidR="00086A10" w:rsidRPr="00A16028">
        <w:rPr>
          <w:rFonts w:ascii="Arial" w:hAnsi="Arial" w:cs="Arial"/>
          <w:sz w:val="22"/>
        </w:rPr>
        <w:t>investment needs and that these funds provide adequate diversification of investments.</w:t>
      </w:r>
    </w:p>
    <w:p w14:paraId="4C1494CE" w14:textId="77777777" w:rsidR="0026517D" w:rsidRPr="00A16028" w:rsidRDefault="0026517D" w:rsidP="0026517D">
      <w:pPr>
        <w:pStyle w:val="Subtitle"/>
        <w:rPr>
          <w:rFonts w:ascii="Arial" w:hAnsi="Arial" w:cs="Arial"/>
          <w:sz w:val="22"/>
        </w:rPr>
      </w:pPr>
      <w:r w:rsidRPr="00A16028">
        <w:rPr>
          <w:rFonts w:ascii="Arial" w:hAnsi="Arial" w:cs="Arial"/>
          <w:sz w:val="22"/>
        </w:rPr>
        <w:tab/>
        <w:t>Suitability</w:t>
      </w:r>
    </w:p>
    <w:p w14:paraId="74EA3535" w14:textId="2BA96D4B" w:rsidR="0026517D" w:rsidRPr="00A16028" w:rsidRDefault="0026517D" w:rsidP="0026517D">
      <w:pPr>
        <w:pStyle w:val="Heading2"/>
        <w:tabs>
          <w:tab w:val="left" w:pos="1276"/>
        </w:tabs>
        <w:ind w:left="900" w:hanging="900"/>
        <w:rPr>
          <w:rFonts w:ascii="Arial" w:hAnsi="Arial" w:cs="Arial"/>
          <w:sz w:val="22"/>
        </w:rPr>
      </w:pPr>
      <w:r w:rsidRPr="00A16028">
        <w:rPr>
          <w:rFonts w:ascii="Arial" w:hAnsi="Arial" w:cs="Arial"/>
          <w:sz w:val="22"/>
        </w:rPr>
        <w:t xml:space="preserve">The Trustee has taken advice from their investment consultant to ensure the </w:t>
      </w:r>
      <w:r w:rsidR="00086A10" w:rsidRPr="00A16028">
        <w:rPr>
          <w:rFonts w:ascii="Arial" w:hAnsi="Arial" w:cs="Arial"/>
          <w:sz w:val="22"/>
        </w:rPr>
        <w:t xml:space="preserve">investment </w:t>
      </w:r>
      <w:r w:rsidRPr="00A16028">
        <w:rPr>
          <w:rFonts w:ascii="Arial" w:hAnsi="Arial" w:cs="Arial"/>
          <w:sz w:val="22"/>
        </w:rPr>
        <w:t xml:space="preserve">funds offered are suitable for the </w:t>
      </w:r>
      <w:r w:rsidR="00014681">
        <w:rPr>
          <w:rFonts w:ascii="Arial" w:hAnsi="Arial" w:cs="Arial"/>
          <w:sz w:val="22"/>
        </w:rPr>
        <w:t>Plan</w:t>
      </w:r>
      <w:r w:rsidRPr="00A16028">
        <w:rPr>
          <w:rFonts w:ascii="Arial" w:hAnsi="Arial" w:cs="Arial"/>
          <w:sz w:val="22"/>
        </w:rPr>
        <w:t>.</w:t>
      </w:r>
      <w:r w:rsidR="00086A10" w:rsidRPr="00A16028">
        <w:rPr>
          <w:rFonts w:ascii="Arial" w:hAnsi="Arial" w:cs="Arial"/>
          <w:sz w:val="22"/>
        </w:rPr>
        <w:t xml:space="preserve">  The Trustee continues to monitor and take advice on the various investment options on an ongoing basis.</w:t>
      </w:r>
    </w:p>
    <w:p w14:paraId="3605FAAB" w14:textId="77777777" w:rsidR="0026517D" w:rsidRPr="00A16028" w:rsidRDefault="0026517D" w:rsidP="0026517D">
      <w:pPr>
        <w:pStyle w:val="Subtitle"/>
        <w:ind w:left="907"/>
        <w:rPr>
          <w:rFonts w:ascii="Arial" w:hAnsi="Arial" w:cs="Arial"/>
          <w:sz w:val="22"/>
        </w:rPr>
      </w:pPr>
      <w:r w:rsidRPr="00A16028">
        <w:rPr>
          <w:rFonts w:ascii="Arial" w:hAnsi="Arial" w:cs="Arial"/>
          <w:sz w:val="22"/>
        </w:rPr>
        <w:t>Liquidity / realisation of investments</w:t>
      </w:r>
    </w:p>
    <w:p w14:paraId="7F53342F" w14:textId="3BE552E6" w:rsidR="0026517D" w:rsidRPr="00A16028" w:rsidRDefault="0026517D" w:rsidP="0026517D">
      <w:pPr>
        <w:pStyle w:val="Heading2"/>
        <w:tabs>
          <w:tab w:val="left" w:pos="1276"/>
        </w:tabs>
        <w:ind w:left="900" w:hanging="900"/>
        <w:rPr>
          <w:rFonts w:ascii="Arial" w:hAnsi="Arial" w:cs="Arial"/>
          <w:sz w:val="22"/>
        </w:rPr>
      </w:pPr>
      <w:r w:rsidRPr="00A16028">
        <w:rPr>
          <w:rFonts w:ascii="Arial" w:hAnsi="Arial" w:cs="Arial"/>
          <w:sz w:val="22"/>
        </w:rPr>
        <w:t>The members' accounts are held in funds that can be realised to provide benefits on retirement, or earlier on transfer to another pension arrangement.</w:t>
      </w:r>
    </w:p>
    <w:p w14:paraId="48038B43" w14:textId="64990973" w:rsidR="0026517D" w:rsidRPr="00A16028" w:rsidRDefault="0026517D">
      <w:pPr>
        <w:pStyle w:val="Heading2"/>
        <w:tabs>
          <w:tab w:val="left" w:pos="1276"/>
        </w:tabs>
        <w:ind w:left="900" w:hanging="900"/>
        <w:rPr>
          <w:rFonts w:ascii="Arial" w:hAnsi="Arial" w:cs="Arial"/>
          <w:sz w:val="22"/>
        </w:rPr>
      </w:pPr>
      <w:r w:rsidRPr="00A16028">
        <w:rPr>
          <w:rFonts w:ascii="Arial" w:hAnsi="Arial" w:cs="Arial"/>
          <w:sz w:val="22"/>
        </w:rPr>
        <w:t>It should be noted that Company, member, and Additional Voluntary Contributions may be invested in these funds.</w:t>
      </w:r>
    </w:p>
    <w:p w14:paraId="4FFFD81E" w14:textId="77777777" w:rsidR="00195062" w:rsidRPr="00A16028" w:rsidRDefault="00195062">
      <w:pPr>
        <w:pStyle w:val="Subtitle"/>
        <w:rPr>
          <w:rFonts w:ascii="Arial" w:hAnsi="Arial" w:cs="Arial"/>
          <w:sz w:val="22"/>
        </w:rPr>
      </w:pPr>
      <w:r w:rsidRPr="00A16028">
        <w:rPr>
          <w:rFonts w:ascii="Arial" w:hAnsi="Arial" w:cs="Arial"/>
          <w:sz w:val="22"/>
        </w:rPr>
        <w:tab/>
        <w:t>Additional Voluntary Contributions (AVCs)</w:t>
      </w:r>
    </w:p>
    <w:p w14:paraId="2C24F50D" w14:textId="5D285AD9" w:rsidR="00194550" w:rsidRPr="00511D6B" w:rsidRDefault="00322D78" w:rsidP="0065296C">
      <w:pPr>
        <w:pStyle w:val="Heading2"/>
        <w:tabs>
          <w:tab w:val="left" w:pos="1276"/>
        </w:tabs>
        <w:ind w:left="900" w:hanging="900"/>
        <w:rPr>
          <w:rFonts w:ascii="Arial" w:hAnsi="Arial" w:cs="Arial"/>
          <w:sz w:val="22"/>
        </w:rPr>
      </w:pPr>
      <w:r w:rsidRPr="00E740B1">
        <w:rPr>
          <w:rFonts w:ascii="Arial" w:hAnsi="Arial" w:cs="Arial"/>
          <w:sz w:val="22"/>
        </w:rPr>
        <w:t xml:space="preserve">The Plan provides a facility for members to pay AVC’s into the Plan. Contributions are invested with Fidelity in a range of pooled funds. </w:t>
      </w:r>
    </w:p>
    <w:p w14:paraId="20D9CED6" w14:textId="703225F3" w:rsidR="00194550" w:rsidRPr="00737B08" w:rsidRDefault="00E740B1" w:rsidP="00194550">
      <w:pPr>
        <w:pStyle w:val="Heading2"/>
        <w:numPr>
          <w:ilvl w:val="0"/>
          <w:numId w:val="0"/>
        </w:numPr>
        <w:tabs>
          <w:tab w:val="left" w:pos="1276"/>
        </w:tabs>
        <w:ind w:left="900"/>
        <w:rPr>
          <w:rFonts w:ascii="Arial" w:hAnsi="Arial" w:cs="Arial"/>
          <w:b/>
          <w:sz w:val="22"/>
        </w:rPr>
      </w:pPr>
      <w:r w:rsidRPr="0065296C">
        <w:rPr>
          <w:rFonts w:ascii="Arial" w:hAnsi="Arial" w:cs="Arial"/>
          <w:b/>
          <w:sz w:val="22"/>
        </w:rPr>
        <w:t xml:space="preserve">Employer-Related </w:t>
      </w:r>
      <w:r w:rsidR="0052407D" w:rsidRPr="00737B08">
        <w:rPr>
          <w:rFonts w:ascii="Arial" w:hAnsi="Arial" w:cs="Arial"/>
          <w:b/>
          <w:sz w:val="22"/>
        </w:rPr>
        <w:t>Investments</w:t>
      </w:r>
      <w:r w:rsidRPr="0065296C">
        <w:rPr>
          <w:rFonts w:ascii="Arial" w:hAnsi="Arial" w:cs="Arial"/>
          <w:b/>
          <w:sz w:val="22"/>
        </w:rPr>
        <w:t xml:space="preserve"> </w:t>
      </w:r>
    </w:p>
    <w:p w14:paraId="5EE0BCC9" w14:textId="589CCF7D" w:rsidR="00194550" w:rsidRDefault="00194550" w:rsidP="00194550">
      <w:pPr>
        <w:pStyle w:val="Heading2"/>
        <w:tabs>
          <w:tab w:val="left" w:pos="1276"/>
        </w:tabs>
        <w:ind w:left="900" w:hanging="900"/>
        <w:rPr>
          <w:rFonts w:ascii="Arial" w:hAnsi="Arial" w:cs="Arial"/>
          <w:sz w:val="22"/>
        </w:rPr>
      </w:pPr>
      <w:r w:rsidRPr="00737B08">
        <w:rPr>
          <w:rFonts w:ascii="Arial" w:hAnsi="Arial" w:cs="Arial"/>
          <w:sz w:val="22"/>
        </w:rPr>
        <w:t xml:space="preserve">The Trustee </w:t>
      </w:r>
      <w:r w:rsidR="00E740B1" w:rsidRPr="0065296C">
        <w:rPr>
          <w:rFonts w:ascii="Arial" w:hAnsi="Arial" w:cs="Arial"/>
          <w:sz w:val="22"/>
        </w:rPr>
        <w:t>policy is not to hold any employer related investments as defined in the Pens</w:t>
      </w:r>
      <w:r w:rsidR="00737B08" w:rsidRPr="0065296C">
        <w:rPr>
          <w:rFonts w:ascii="Arial" w:hAnsi="Arial" w:cs="Arial"/>
          <w:sz w:val="22"/>
        </w:rPr>
        <w:t>ion Act 1995, the Pension Act 2004 and the Occupational Pension Schemes (Investment Regulations 2005).</w:t>
      </w:r>
    </w:p>
    <w:p w14:paraId="6C5007C4" w14:textId="5546D533" w:rsidR="00737B08" w:rsidRDefault="00737B08" w:rsidP="00194550">
      <w:pPr>
        <w:pStyle w:val="Heading2"/>
        <w:tabs>
          <w:tab w:val="left" w:pos="1276"/>
        </w:tabs>
        <w:ind w:left="900" w:hanging="900"/>
        <w:rPr>
          <w:rFonts w:ascii="Arial" w:hAnsi="Arial" w:cs="Arial"/>
          <w:b/>
          <w:sz w:val="22"/>
        </w:rPr>
      </w:pPr>
      <w:r w:rsidRPr="0065296C">
        <w:rPr>
          <w:rFonts w:ascii="Arial" w:hAnsi="Arial" w:cs="Arial"/>
          <w:b/>
          <w:sz w:val="22"/>
        </w:rPr>
        <w:t>Fee Structure</w:t>
      </w:r>
    </w:p>
    <w:p w14:paraId="196DEE0E" w14:textId="12D0C987" w:rsidR="00737B08" w:rsidRPr="00737B08" w:rsidRDefault="00737B08" w:rsidP="0065296C">
      <w:pPr>
        <w:pStyle w:val="Heading2"/>
        <w:numPr>
          <w:ilvl w:val="0"/>
          <w:numId w:val="0"/>
        </w:numPr>
        <w:tabs>
          <w:tab w:val="left" w:pos="1276"/>
        </w:tabs>
        <w:ind w:left="900"/>
        <w:rPr>
          <w:rFonts w:ascii="Arial" w:hAnsi="Arial" w:cs="Arial"/>
          <w:sz w:val="22"/>
        </w:rPr>
      </w:pPr>
      <w:r>
        <w:rPr>
          <w:rFonts w:ascii="Arial" w:hAnsi="Arial" w:cs="Arial"/>
          <w:sz w:val="22"/>
        </w:rPr>
        <w:t xml:space="preserve">The investment managers are paid to a management fee </w:t>
      </w:r>
      <w:proofErr w:type="gramStart"/>
      <w:r>
        <w:rPr>
          <w:rFonts w:ascii="Arial" w:hAnsi="Arial" w:cs="Arial"/>
          <w:sz w:val="22"/>
        </w:rPr>
        <w:t>on the basis of</w:t>
      </w:r>
      <w:proofErr w:type="gramEnd"/>
      <w:r>
        <w:rPr>
          <w:rFonts w:ascii="Arial" w:hAnsi="Arial" w:cs="Arial"/>
          <w:sz w:val="22"/>
        </w:rPr>
        <w:t xml:space="preserve"> assets under management. The investment consultant is paid on a project basis, which may be a fixed fee or based on time costs as negotiated by the Trustee in the interest of obtaining best value for the Plan.</w:t>
      </w:r>
    </w:p>
    <w:p w14:paraId="4FFFD822" w14:textId="77777777" w:rsidR="00195062" w:rsidRPr="00D77860" w:rsidRDefault="00195062" w:rsidP="007C148D">
      <w:pPr>
        <w:pStyle w:val="Heading1"/>
        <w:framePr w:wrap="around"/>
        <w:ind w:firstLine="142"/>
        <w:jc w:val="left"/>
        <w:rPr>
          <w:rFonts w:ascii="Arial" w:hAnsi="Arial" w:cs="Arial"/>
        </w:rPr>
      </w:pPr>
    </w:p>
    <w:p w14:paraId="4FFFD823" w14:textId="77777777" w:rsidR="00195062" w:rsidRPr="00D77860" w:rsidRDefault="00195062" w:rsidP="00834A2C">
      <w:pPr>
        <w:pStyle w:val="SectionTitle"/>
        <w:framePr w:wrap="around"/>
        <w:spacing w:line="400" w:lineRule="exact"/>
        <w:rPr>
          <w:rFonts w:ascii="Arial" w:hAnsi="Arial" w:cs="Arial"/>
        </w:rPr>
      </w:pPr>
      <w:r w:rsidRPr="00D77860">
        <w:rPr>
          <w:rFonts w:ascii="Arial" w:hAnsi="Arial" w:cs="Arial"/>
        </w:rPr>
        <w:t>Risk</w:t>
      </w:r>
    </w:p>
    <w:p w14:paraId="4FFFD846" w14:textId="64DECD6F" w:rsidR="004237DD" w:rsidRPr="00A16028" w:rsidRDefault="004237DD" w:rsidP="00AB5CB8">
      <w:pPr>
        <w:pStyle w:val="Heading2"/>
        <w:tabs>
          <w:tab w:val="left" w:pos="1276"/>
        </w:tabs>
        <w:ind w:left="900" w:hanging="900"/>
        <w:rPr>
          <w:rFonts w:ascii="Arial" w:hAnsi="Arial" w:cs="Arial"/>
          <w:sz w:val="22"/>
        </w:rPr>
      </w:pPr>
      <w:r w:rsidRPr="00A16028">
        <w:rPr>
          <w:rFonts w:ascii="Arial" w:hAnsi="Arial" w:cs="Arial"/>
          <w:sz w:val="22"/>
        </w:rPr>
        <w:t xml:space="preserve">The </w:t>
      </w:r>
      <w:r w:rsidR="00A635A5" w:rsidRPr="00A16028">
        <w:rPr>
          <w:rFonts w:ascii="Arial" w:hAnsi="Arial" w:cs="Arial"/>
          <w:sz w:val="22"/>
        </w:rPr>
        <w:t>Trustee</w:t>
      </w:r>
      <w:r w:rsidR="00BB20ED">
        <w:rPr>
          <w:rFonts w:ascii="Arial" w:hAnsi="Arial" w:cs="Arial"/>
          <w:sz w:val="22"/>
        </w:rPr>
        <w:t xml:space="preserve"> </w:t>
      </w:r>
      <w:r w:rsidR="00C46FF8" w:rsidRPr="00A16028">
        <w:rPr>
          <w:rFonts w:ascii="Arial" w:hAnsi="Arial" w:cs="Arial"/>
          <w:sz w:val="22"/>
        </w:rPr>
        <w:t>recognises</w:t>
      </w:r>
      <w:r w:rsidRPr="00A16028">
        <w:rPr>
          <w:rFonts w:ascii="Arial" w:hAnsi="Arial" w:cs="Arial"/>
          <w:sz w:val="22"/>
        </w:rPr>
        <w:t xml:space="preserve"> that there are </w:t>
      </w:r>
      <w:proofErr w:type="gramStart"/>
      <w:r w:rsidRPr="00A16028">
        <w:rPr>
          <w:rFonts w:ascii="Arial" w:hAnsi="Arial" w:cs="Arial"/>
          <w:sz w:val="22"/>
        </w:rPr>
        <w:t>a number of</w:t>
      </w:r>
      <w:proofErr w:type="gramEnd"/>
      <w:r w:rsidRPr="00A16028">
        <w:rPr>
          <w:rFonts w:ascii="Arial" w:hAnsi="Arial" w:cs="Arial"/>
          <w:sz w:val="22"/>
        </w:rPr>
        <w:t xml:space="preserve"> different types of investment risks that are faced by members of the </w:t>
      </w:r>
      <w:r w:rsidR="004A3831" w:rsidRPr="00A16028">
        <w:rPr>
          <w:rFonts w:ascii="Arial" w:hAnsi="Arial" w:cs="Arial"/>
          <w:sz w:val="22"/>
        </w:rPr>
        <w:t>Defined Contribution</w:t>
      </w:r>
      <w:r w:rsidR="00D746ED" w:rsidRPr="00A16028">
        <w:rPr>
          <w:rFonts w:ascii="Arial" w:hAnsi="Arial" w:cs="Arial"/>
          <w:sz w:val="22"/>
        </w:rPr>
        <w:t xml:space="preserve"> S</w:t>
      </w:r>
      <w:r w:rsidRPr="00A16028">
        <w:rPr>
          <w:rFonts w:ascii="Arial" w:hAnsi="Arial" w:cs="Arial"/>
          <w:sz w:val="22"/>
        </w:rPr>
        <w:t>ection, including:</w:t>
      </w:r>
    </w:p>
    <w:p w14:paraId="4FFFD847" w14:textId="77777777" w:rsidR="003A13F9" w:rsidRPr="00A16028" w:rsidRDefault="004237DD" w:rsidP="0078303D">
      <w:pPr>
        <w:pStyle w:val="ListBullet"/>
        <w:tabs>
          <w:tab w:val="num" w:pos="1276"/>
        </w:tabs>
        <w:ind w:left="1276" w:hanging="425"/>
        <w:rPr>
          <w:rFonts w:ascii="Arial" w:hAnsi="Arial" w:cs="Arial"/>
          <w:sz w:val="22"/>
        </w:rPr>
      </w:pPr>
      <w:r w:rsidRPr="00A16028">
        <w:rPr>
          <w:rFonts w:ascii="Arial" w:hAnsi="Arial" w:cs="Arial"/>
          <w:sz w:val="22"/>
        </w:rPr>
        <w:t>Inadequate long</w:t>
      </w:r>
      <w:r w:rsidR="003D2E20" w:rsidRPr="00A16028">
        <w:rPr>
          <w:rFonts w:ascii="Arial" w:hAnsi="Arial" w:cs="Arial"/>
          <w:sz w:val="22"/>
        </w:rPr>
        <w:t>-</w:t>
      </w:r>
      <w:r w:rsidRPr="00A16028">
        <w:rPr>
          <w:rFonts w:ascii="Arial" w:hAnsi="Arial" w:cs="Arial"/>
          <w:sz w:val="22"/>
        </w:rPr>
        <w:t>term returns</w:t>
      </w:r>
    </w:p>
    <w:p w14:paraId="4FFFD848" w14:textId="77777777" w:rsidR="004237DD" w:rsidRPr="00A16028" w:rsidRDefault="0047504C" w:rsidP="008F6CB4">
      <w:pPr>
        <w:pStyle w:val="ListBullet2"/>
        <w:rPr>
          <w:rFonts w:ascii="Arial" w:hAnsi="Arial" w:cs="Arial"/>
          <w:sz w:val="22"/>
        </w:rPr>
      </w:pPr>
      <w:r w:rsidRPr="00A16028">
        <w:rPr>
          <w:rFonts w:ascii="Arial" w:hAnsi="Arial" w:cs="Arial"/>
          <w:sz w:val="22"/>
        </w:rPr>
        <w:t>A</w:t>
      </w:r>
      <w:r w:rsidR="004237DD" w:rsidRPr="00A16028">
        <w:rPr>
          <w:rFonts w:ascii="Arial" w:hAnsi="Arial" w:cs="Arial"/>
          <w:sz w:val="22"/>
        </w:rPr>
        <w:t>s members' benefits are directly dependent on the investment returns achieved, it is important that investment vehicles which can be expected to produce adequate real returns over the longer term are available.  Historically, equities have produced the best real returns over the longer term.</w:t>
      </w:r>
    </w:p>
    <w:p w14:paraId="4FFFD849" w14:textId="77777777" w:rsidR="002766B1" w:rsidRPr="00A16028" w:rsidRDefault="002766B1" w:rsidP="002766B1">
      <w:pPr>
        <w:pStyle w:val="ListBullet"/>
        <w:tabs>
          <w:tab w:val="num" w:pos="1276"/>
        </w:tabs>
        <w:ind w:left="1276" w:hanging="425"/>
        <w:rPr>
          <w:rFonts w:ascii="Arial" w:hAnsi="Arial" w:cs="Arial"/>
          <w:sz w:val="22"/>
        </w:rPr>
      </w:pPr>
      <w:r w:rsidRPr="00A16028">
        <w:rPr>
          <w:rFonts w:ascii="Arial" w:hAnsi="Arial" w:cs="Arial"/>
          <w:sz w:val="22"/>
        </w:rPr>
        <w:t>Deterioration in investment conditions near retirement</w:t>
      </w:r>
    </w:p>
    <w:p w14:paraId="4FFFD84A" w14:textId="67BB4050" w:rsidR="002766B1" w:rsidRPr="00A16028" w:rsidRDefault="002766B1" w:rsidP="002766B1">
      <w:pPr>
        <w:pStyle w:val="ListBullet2"/>
        <w:rPr>
          <w:rFonts w:ascii="Arial" w:hAnsi="Arial" w:cs="Arial"/>
          <w:sz w:val="22"/>
        </w:rPr>
      </w:pPr>
      <w:r w:rsidRPr="00A16028">
        <w:rPr>
          <w:rFonts w:ascii="Arial" w:hAnsi="Arial" w:cs="Arial"/>
          <w:sz w:val="22"/>
        </w:rPr>
        <w:t xml:space="preserve">A sharp deterioration in </w:t>
      </w:r>
      <w:r w:rsidR="00E27DD8" w:rsidRPr="00A16028">
        <w:rPr>
          <w:rFonts w:ascii="Arial" w:hAnsi="Arial" w:cs="Arial"/>
          <w:sz w:val="22"/>
        </w:rPr>
        <w:t xml:space="preserve">investment </w:t>
      </w:r>
      <w:r w:rsidRPr="00A16028">
        <w:rPr>
          <w:rFonts w:ascii="Arial" w:hAnsi="Arial" w:cs="Arial"/>
          <w:sz w:val="22"/>
        </w:rPr>
        <w:t>conditions in the period just prior to retirement will have a substantial impact on the benefits provided.  The Trustee is satisfied that the range of funds offered will enable members to take the necessary steps to safeguard against this.  The switching periods of the Lifestyle option</w:t>
      </w:r>
      <w:r w:rsidR="00EA17A3" w:rsidRPr="00A16028">
        <w:rPr>
          <w:rFonts w:ascii="Arial" w:hAnsi="Arial" w:cs="Arial"/>
          <w:sz w:val="22"/>
        </w:rPr>
        <w:t>s</w:t>
      </w:r>
      <w:r w:rsidRPr="00A16028">
        <w:rPr>
          <w:rFonts w:ascii="Arial" w:hAnsi="Arial" w:cs="Arial"/>
          <w:sz w:val="22"/>
        </w:rPr>
        <w:t xml:space="preserve"> aim to reduce this risk for members who choose this investment approach.</w:t>
      </w:r>
    </w:p>
    <w:p w14:paraId="4FFFD84B" w14:textId="77777777" w:rsidR="002766B1" w:rsidRPr="00A16028" w:rsidRDefault="002766B1" w:rsidP="002766B1">
      <w:pPr>
        <w:pStyle w:val="ListBullet"/>
        <w:tabs>
          <w:tab w:val="num" w:pos="1276"/>
        </w:tabs>
        <w:ind w:left="1276" w:hanging="425"/>
        <w:rPr>
          <w:rFonts w:ascii="Arial" w:hAnsi="Arial" w:cs="Arial"/>
          <w:sz w:val="22"/>
        </w:rPr>
      </w:pPr>
      <w:r w:rsidRPr="00A16028">
        <w:rPr>
          <w:rFonts w:ascii="Arial" w:hAnsi="Arial" w:cs="Arial"/>
          <w:sz w:val="22"/>
        </w:rPr>
        <w:t>Lack of diversification</w:t>
      </w:r>
    </w:p>
    <w:p w14:paraId="4FFFD84C" w14:textId="74C11D37" w:rsidR="002766B1" w:rsidRPr="00A16028" w:rsidRDefault="002766B1" w:rsidP="002766B1">
      <w:pPr>
        <w:pStyle w:val="ListBullet2"/>
        <w:rPr>
          <w:rFonts w:ascii="Arial" w:hAnsi="Arial" w:cs="Arial"/>
          <w:sz w:val="22"/>
        </w:rPr>
      </w:pPr>
      <w:r w:rsidRPr="00A16028">
        <w:rPr>
          <w:rFonts w:ascii="Arial" w:hAnsi="Arial" w:cs="Arial"/>
          <w:sz w:val="22"/>
        </w:rPr>
        <w:t>Within each fund available to members, the holdings should be adequately diversified.</w:t>
      </w:r>
      <w:r w:rsidR="003C2488">
        <w:rPr>
          <w:rFonts w:ascii="Arial" w:hAnsi="Arial" w:cs="Arial"/>
          <w:sz w:val="22"/>
        </w:rPr>
        <w:t xml:space="preserve">  </w:t>
      </w:r>
      <w:r w:rsidRPr="00A16028">
        <w:rPr>
          <w:rFonts w:ascii="Arial" w:hAnsi="Arial" w:cs="Arial"/>
          <w:sz w:val="22"/>
        </w:rPr>
        <w:t xml:space="preserve">To achieve this, the Trustee has selected funds which, by their nature, invest in </w:t>
      </w:r>
      <w:proofErr w:type="gramStart"/>
      <w:r w:rsidRPr="00A16028">
        <w:rPr>
          <w:rFonts w:ascii="Arial" w:hAnsi="Arial" w:cs="Arial"/>
          <w:sz w:val="22"/>
        </w:rPr>
        <w:t>a large number of</w:t>
      </w:r>
      <w:proofErr w:type="gramEnd"/>
      <w:r w:rsidRPr="00A16028">
        <w:rPr>
          <w:rFonts w:ascii="Arial" w:hAnsi="Arial" w:cs="Arial"/>
          <w:sz w:val="22"/>
        </w:rPr>
        <w:t xml:space="preserve"> holdings.</w:t>
      </w:r>
    </w:p>
    <w:p w14:paraId="4FFFD84D" w14:textId="77777777" w:rsidR="002766B1" w:rsidRPr="00A16028" w:rsidRDefault="002766B1" w:rsidP="002766B1">
      <w:pPr>
        <w:pStyle w:val="ListBullet"/>
        <w:tabs>
          <w:tab w:val="num" w:pos="1276"/>
        </w:tabs>
        <w:ind w:left="1276" w:hanging="425"/>
        <w:rPr>
          <w:rFonts w:ascii="Arial" w:hAnsi="Arial" w:cs="Arial"/>
          <w:sz w:val="22"/>
        </w:rPr>
      </w:pPr>
      <w:r w:rsidRPr="00A16028">
        <w:rPr>
          <w:rFonts w:ascii="Arial" w:hAnsi="Arial" w:cs="Arial"/>
          <w:sz w:val="22"/>
        </w:rPr>
        <w:t>Manager risk</w:t>
      </w:r>
    </w:p>
    <w:p w14:paraId="4FFFD84E" w14:textId="77777777" w:rsidR="002766B1" w:rsidRPr="00A16028" w:rsidRDefault="002766B1" w:rsidP="002766B1">
      <w:pPr>
        <w:pStyle w:val="ListBullet2"/>
        <w:rPr>
          <w:rFonts w:ascii="Arial" w:hAnsi="Arial" w:cs="Arial"/>
          <w:sz w:val="22"/>
        </w:rPr>
      </w:pPr>
      <w:r w:rsidRPr="00A16028">
        <w:rPr>
          <w:rFonts w:ascii="Arial" w:hAnsi="Arial" w:cs="Arial"/>
          <w:sz w:val="22"/>
        </w:rPr>
        <w:t>The Trustee believes that by offering "index-tracking" as an option, members are given the opportunity to address the risk of underperformance by the manager against the relevant market.</w:t>
      </w:r>
    </w:p>
    <w:p w14:paraId="4FFFD84F" w14:textId="77777777" w:rsidR="002766B1" w:rsidRPr="00A16028" w:rsidRDefault="002766B1" w:rsidP="002766B1">
      <w:pPr>
        <w:pStyle w:val="ListBullet"/>
        <w:tabs>
          <w:tab w:val="num" w:pos="1276"/>
        </w:tabs>
        <w:ind w:left="1276" w:hanging="425"/>
        <w:rPr>
          <w:rFonts w:ascii="Arial" w:hAnsi="Arial" w:cs="Arial"/>
          <w:sz w:val="22"/>
        </w:rPr>
      </w:pPr>
      <w:r w:rsidRPr="00A16028">
        <w:rPr>
          <w:rFonts w:ascii="Arial" w:hAnsi="Arial" w:cs="Arial"/>
          <w:sz w:val="22"/>
        </w:rPr>
        <w:t>Risk from excessive charges</w:t>
      </w:r>
    </w:p>
    <w:p w14:paraId="4FFFD850" w14:textId="14BF9C43" w:rsidR="002766B1" w:rsidRPr="00A16028" w:rsidRDefault="002766B1" w:rsidP="002766B1">
      <w:pPr>
        <w:pStyle w:val="ListBullet2"/>
        <w:rPr>
          <w:rFonts w:ascii="Arial" w:hAnsi="Arial" w:cs="Arial"/>
          <w:sz w:val="22"/>
        </w:rPr>
      </w:pPr>
      <w:r w:rsidRPr="00A16028">
        <w:rPr>
          <w:rFonts w:ascii="Arial" w:hAnsi="Arial" w:cs="Arial"/>
          <w:sz w:val="22"/>
        </w:rPr>
        <w:t>If the investment management charges are excessive, then the value of members' accounts will be reduced unnecessarily.  The Trustee, therefore, has looked closely at the terms and conditions offered by the investment managers, and are satisfied that the level of charges will not unnecessarily reduce members' accounts.</w:t>
      </w:r>
    </w:p>
    <w:p w14:paraId="4FFFD851" w14:textId="77777777" w:rsidR="002766B1" w:rsidRPr="00A16028" w:rsidRDefault="002766B1" w:rsidP="002766B1">
      <w:pPr>
        <w:pStyle w:val="ListBullet"/>
        <w:tabs>
          <w:tab w:val="num" w:pos="1276"/>
        </w:tabs>
        <w:ind w:left="1276" w:hanging="425"/>
        <w:rPr>
          <w:rFonts w:ascii="Arial" w:hAnsi="Arial" w:cs="Arial"/>
          <w:sz w:val="22"/>
        </w:rPr>
      </w:pPr>
      <w:r w:rsidRPr="00A16028">
        <w:rPr>
          <w:rFonts w:ascii="Arial" w:hAnsi="Arial" w:cs="Arial"/>
          <w:sz w:val="22"/>
        </w:rPr>
        <w:t>Lack of investment knowledge of the member</w:t>
      </w:r>
    </w:p>
    <w:p w14:paraId="4FFFD852" w14:textId="33C5E6EF" w:rsidR="002766B1" w:rsidRPr="00A16028" w:rsidRDefault="002766B1" w:rsidP="002766B1">
      <w:pPr>
        <w:pStyle w:val="ListBullet2"/>
        <w:rPr>
          <w:rFonts w:ascii="Arial" w:hAnsi="Arial" w:cs="Arial"/>
          <w:sz w:val="22"/>
        </w:rPr>
      </w:pPr>
      <w:r w:rsidRPr="00A16028">
        <w:rPr>
          <w:rFonts w:ascii="Arial" w:hAnsi="Arial" w:cs="Arial"/>
          <w:sz w:val="22"/>
        </w:rPr>
        <w:t xml:space="preserve">Management of pension assets is a specialist function and one that many members will not feel adequately equipped or inclined to undertake.  The Trustee believes that this risk is adequately addressed by providing, within the set of investment options, a </w:t>
      </w:r>
      <w:r w:rsidR="00EE1B00">
        <w:rPr>
          <w:rFonts w:ascii="Arial" w:hAnsi="Arial" w:cs="Arial"/>
          <w:sz w:val="22"/>
        </w:rPr>
        <w:t>range of l</w:t>
      </w:r>
      <w:r w:rsidRPr="00A16028">
        <w:rPr>
          <w:rFonts w:ascii="Arial" w:hAnsi="Arial" w:cs="Arial"/>
          <w:sz w:val="22"/>
        </w:rPr>
        <w:t>ifestyle option</w:t>
      </w:r>
      <w:r w:rsidR="00EE1B00">
        <w:rPr>
          <w:rFonts w:ascii="Arial" w:hAnsi="Arial" w:cs="Arial"/>
          <w:sz w:val="22"/>
        </w:rPr>
        <w:t>s</w:t>
      </w:r>
      <w:r w:rsidRPr="00A16028">
        <w:rPr>
          <w:rFonts w:ascii="Arial" w:hAnsi="Arial" w:cs="Arial"/>
          <w:sz w:val="22"/>
        </w:rPr>
        <w:t xml:space="preserve"> that</w:t>
      </w:r>
      <w:r w:rsidR="00EE1B00">
        <w:rPr>
          <w:rFonts w:ascii="Arial" w:hAnsi="Arial" w:cs="Arial"/>
          <w:sz w:val="22"/>
        </w:rPr>
        <w:t xml:space="preserve"> are</w:t>
      </w:r>
      <w:r w:rsidRPr="00A16028">
        <w:rPr>
          <w:rFonts w:ascii="Arial" w:hAnsi="Arial" w:cs="Arial"/>
          <w:sz w:val="22"/>
        </w:rPr>
        <w:t xml:space="preserve"> designed to adapt automatically to the changing needs of a typical member as they progress through their working life.</w:t>
      </w:r>
    </w:p>
    <w:p w14:paraId="4FFFD853" w14:textId="39FDADBC" w:rsidR="002766B1" w:rsidRPr="00A16028" w:rsidRDefault="002766B1" w:rsidP="002766B1">
      <w:pPr>
        <w:pStyle w:val="ListBullet2"/>
        <w:rPr>
          <w:rFonts w:ascii="Arial" w:hAnsi="Arial" w:cs="Arial"/>
          <w:sz w:val="22"/>
        </w:rPr>
      </w:pPr>
      <w:r w:rsidRPr="00A16028">
        <w:rPr>
          <w:rFonts w:ascii="Arial" w:hAnsi="Arial" w:cs="Arial"/>
          <w:sz w:val="22"/>
        </w:rPr>
        <w:t>While the Trustee prefers that members should choose how their assets are invested from the funds on offer, they recognise that some members cannot (or will not) make this choice.</w:t>
      </w:r>
      <w:r w:rsidR="0052407D">
        <w:rPr>
          <w:rFonts w:ascii="Arial" w:hAnsi="Arial" w:cs="Arial"/>
          <w:sz w:val="22"/>
        </w:rPr>
        <w:t xml:space="preserve"> </w:t>
      </w:r>
      <w:r w:rsidRPr="00A16028">
        <w:rPr>
          <w:rFonts w:ascii="Arial" w:hAnsi="Arial" w:cs="Arial"/>
          <w:sz w:val="22"/>
        </w:rPr>
        <w:t xml:space="preserve">The Trustee believes that this is adequately addressed by providing </w:t>
      </w:r>
      <w:r w:rsidR="00EE1B00">
        <w:rPr>
          <w:rFonts w:ascii="Arial" w:hAnsi="Arial" w:cs="Arial"/>
          <w:sz w:val="22"/>
        </w:rPr>
        <w:t xml:space="preserve">a lifestyle strategy </w:t>
      </w:r>
      <w:r w:rsidRPr="00A16028">
        <w:rPr>
          <w:rFonts w:ascii="Arial" w:hAnsi="Arial" w:cs="Arial"/>
          <w:sz w:val="22"/>
        </w:rPr>
        <w:t xml:space="preserve">as </w:t>
      </w:r>
      <w:r w:rsidR="00EE1B00">
        <w:rPr>
          <w:rFonts w:ascii="Arial" w:hAnsi="Arial" w:cs="Arial"/>
          <w:sz w:val="22"/>
        </w:rPr>
        <w:t>the</w:t>
      </w:r>
      <w:r w:rsidRPr="00A16028">
        <w:rPr>
          <w:rFonts w:ascii="Arial" w:hAnsi="Arial" w:cs="Arial"/>
          <w:sz w:val="22"/>
        </w:rPr>
        <w:t xml:space="preserve"> default</w:t>
      </w:r>
      <w:r w:rsidR="00EE1B00">
        <w:rPr>
          <w:rFonts w:ascii="Arial" w:hAnsi="Arial" w:cs="Arial"/>
          <w:sz w:val="22"/>
        </w:rPr>
        <w:t xml:space="preserve"> option</w:t>
      </w:r>
      <w:r w:rsidR="0052407D">
        <w:rPr>
          <w:rFonts w:ascii="Arial" w:hAnsi="Arial" w:cs="Arial"/>
          <w:sz w:val="22"/>
        </w:rPr>
        <w:t>.</w:t>
      </w:r>
    </w:p>
    <w:p w14:paraId="4FFFD858" w14:textId="630944F1" w:rsidR="002766B1" w:rsidRPr="0065296C" w:rsidRDefault="002766B1" w:rsidP="0065296C">
      <w:pPr>
        <w:pStyle w:val="Heading2"/>
        <w:tabs>
          <w:tab w:val="left" w:pos="1276"/>
        </w:tabs>
        <w:ind w:left="900" w:hanging="900"/>
        <w:rPr>
          <w:rFonts w:ascii="Arial" w:hAnsi="Arial" w:cs="Arial"/>
        </w:rPr>
      </w:pPr>
      <w:r w:rsidRPr="00A16028">
        <w:rPr>
          <w:rFonts w:ascii="Arial" w:hAnsi="Arial" w:cs="Arial"/>
          <w:sz w:val="22"/>
        </w:rPr>
        <w:t>The Trustee continues to monitor the risks and to reduce them as far as reasonably possible.</w:t>
      </w:r>
      <w:r w:rsidR="00A93F0E">
        <w:rPr>
          <w:rFonts w:ascii="Arial" w:hAnsi="Arial" w:cs="Arial"/>
          <w:sz w:val="22"/>
        </w:rPr>
        <w:t xml:space="preserve"> Should there be a material change in the Plans circumstances the Trustee will review whether the current risk profile remains appropriate.</w:t>
      </w:r>
    </w:p>
    <w:p w14:paraId="321B1753" w14:textId="77777777" w:rsidR="00E97CE5" w:rsidRDefault="00E97CE5">
      <w:pPr>
        <w:suppressLineNumbers w:val="0"/>
        <w:tabs>
          <w:tab w:val="clear" w:pos="907"/>
          <w:tab w:val="clear" w:pos="9185"/>
        </w:tabs>
        <w:suppressAutoHyphens w:val="0"/>
        <w:spacing w:line="240" w:lineRule="auto"/>
        <w:jc w:val="left"/>
        <w:rPr>
          <w:rFonts w:ascii="Arial" w:hAnsi="Arial" w:cs="Arial"/>
          <w:b/>
        </w:rPr>
      </w:pPr>
      <w:r>
        <w:rPr>
          <w:rFonts w:ascii="Arial" w:hAnsi="Arial" w:cs="Arial"/>
          <w:b/>
        </w:rPr>
        <w:br w:type="page"/>
      </w:r>
    </w:p>
    <w:p w14:paraId="4FFFD859" w14:textId="7DAB5CFB" w:rsidR="002766B1" w:rsidRPr="00A16028" w:rsidRDefault="002766B1" w:rsidP="0077289E">
      <w:pPr>
        <w:pStyle w:val="Heading2"/>
        <w:numPr>
          <w:ilvl w:val="0"/>
          <w:numId w:val="0"/>
        </w:numPr>
        <w:rPr>
          <w:rFonts w:ascii="Arial" w:hAnsi="Arial" w:cs="Arial"/>
          <w:b/>
        </w:rPr>
      </w:pPr>
      <w:r w:rsidRPr="00A16028">
        <w:rPr>
          <w:rFonts w:ascii="Arial" w:hAnsi="Arial" w:cs="Arial"/>
          <w:b/>
        </w:rPr>
        <w:lastRenderedPageBreak/>
        <w:t xml:space="preserve">Appendix </w:t>
      </w:r>
      <w:r w:rsidR="00213DA0" w:rsidRPr="00A16028">
        <w:rPr>
          <w:rFonts w:ascii="Arial" w:hAnsi="Arial" w:cs="Arial"/>
          <w:b/>
        </w:rPr>
        <w:t>A</w:t>
      </w:r>
    </w:p>
    <w:p w14:paraId="4FFFD85A" w14:textId="75A6ACE3" w:rsidR="00870D73" w:rsidRPr="00A16028" w:rsidRDefault="00DE59E2" w:rsidP="00870D73">
      <w:pPr>
        <w:pStyle w:val="Heading2"/>
        <w:numPr>
          <w:ilvl w:val="0"/>
          <w:numId w:val="0"/>
        </w:numPr>
        <w:rPr>
          <w:rFonts w:ascii="Arial" w:hAnsi="Arial" w:cs="Arial"/>
          <w:b/>
          <w:bCs/>
        </w:rPr>
      </w:pPr>
      <w:r w:rsidRPr="00A16028">
        <w:rPr>
          <w:rFonts w:ascii="Arial" w:hAnsi="Arial" w:cs="Arial"/>
          <w:b/>
          <w:bCs/>
        </w:rPr>
        <w:t xml:space="preserve">Defined Contribution </w:t>
      </w:r>
      <w:r w:rsidR="004E4621">
        <w:rPr>
          <w:rFonts w:ascii="Arial" w:hAnsi="Arial" w:cs="Arial"/>
          <w:b/>
          <w:bCs/>
        </w:rPr>
        <w:t xml:space="preserve">Lifestyle </w:t>
      </w:r>
      <w:r w:rsidR="00542D93">
        <w:rPr>
          <w:rFonts w:ascii="Arial" w:hAnsi="Arial" w:cs="Arial"/>
          <w:b/>
          <w:bCs/>
        </w:rPr>
        <w:t>Investment Arrangements</w:t>
      </w:r>
    </w:p>
    <w:p w14:paraId="4FFFD85B" w14:textId="77777777" w:rsidR="00331EA4" w:rsidRPr="00A16028" w:rsidRDefault="00331EA4" w:rsidP="00870D73">
      <w:pPr>
        <w:pStyle w:val="Heading2"/>
        <w:numPr>
          <w:ilvl w:val="0"/>
          <w:numId w:val="0"/>
        </w:numPr>
        <w:rPr>
          <w:rFonts w:ascii="Arial" w:hAnsi="Arial" w:cs="Arial"/>
          <w:b/>
          <w:bCs/>
        </w:rPr>
      </w:pPr>
    </w:p>
    <w:p w14:paraId="76E91F12" w14:textId="5BC3DDDF" w:rsidR="00E42262" w:rsidRPr="00476B77" w:rsidRDefault="00953C5A">
      <w:pPr>
        <w:pStyle w:val="Heading2"/>
        <w:numPr>
          <w:ilvl w:val="0"/>
          <w:numId w:val="0"/>
        </w:numPr>
        <w:spacing w:before="60" w:after="120" w:line="240" w:lineRule="auto"/>
        <w:rPr>
          <w:rFonts w:ascii="Arial" w:hAnsi="Arial" w:cs="Arial"/>
          <w:bCs/>
          <w:sz w:val="22"/>
        </w:rPr>
      </w:pPr>
      <w:r w:rsidRPr="00A16028">
        <w:rPr>
          <w:rFonts w:ascii="Arial" w:hAnsi="Arial" w:cs="Arial"/>
          <w:bCs/>
          <w:sz w:val="22"/>
        </w:rPr>
        <w:t xml:space="preserve">The </w:t>
      </w:r>
      <w:r w:rsidR="00EE1B00">
        <w:rPr>
          <w:rFonts w:ascii="Arial" w:hAnsi="Arial" w:cs="Arial"/>
          <w:bCs/>
          <w:sz w:val="22"/>
        </w:rPr>
        <w:t xml:space="preserve">table </w:t>
      </w:r>
      <w:r w:rsidRPr="00A16028">
        <w:rPr>
          <w:rFonts w:ascii="Arial" w:hAnsi="Arial" w:cs="Arial"/>
          <w:bCs/>
          <w:sz w:val="22"/>
        </w:rPr>
        <w:t xml:space="preserve">below details the </w:t>
      </w:r>
      <w:r w:rsidR="0030534C">
        <w:rPr>
          <w:rFonts w:ascii="Arial" w:hAnsi="Arial" w:cs="Arial"/>
          <w:bCs/>
          <w:sz w:val="22"/>
        </w:rPr>
        <w:t>Dell Balanced Growth Fund, which is a</w:t>
      </w:r>
      <w:r w:rsidR="007B5B2D">
        <w:rPr>
          <w:rFonts w:ascii="Arial" w:hAnsi="Arial" w:cs="Arial"/>
          <w:bCs/>
          <w:sz w:val="22"/>
        </w:rPr>
        <w:t xml:space="preserve"> white label Diversified Growth </w:t>
      </w:r>
      <w:r w:rsidR="003A372E">
        <w:rPr>
          <w:rFonts w:ascii="Arial" w:hAnsi="Arial" w:cs="Arial"/>
          <w:bCs/>
          <w:sz w:val="22"/>
        </w:rPr>
        <w:t>Fund used in three of</w:t>
      </w:r>
      <w:r w:rsidR="0030534C">
        <w:rPr>
          <w:rFonts w:ascii="Arial" w:hAnsi="Arial" w:cs="Arial"/>
          <w:bCs/>
          <w:sz w:val="22"/>
        </w:rPr>
        <w:t xml:space="preserve"> the Plan’s Lifestyle options</w:t>
      </w:r>
      <w:r w:rsidR="003A372E">
        <w:rPr>
          <w:rFonts w:ascii="Arial" w:hAnsi="Arial" w:cs="Arial"/>
          <w:bCs/>
          <w:sz w:val="22"/>
        </w:rPr>
        <w:t xml:space="preserve"> as well as being available as part of the Plan’s self-select fund range (see Appendix B)</w:t>
      </w:r>
      <w:r w:rsidRPr="00A16028">
        <w:rPr>
          <w:rFonts w:ascii="Arial" w:hAnsi="Arial" w:cs="Arial"/>
          <w:bCs/>
          <w:sz w:val="22"/>
        </w:rPr>
        <w:t>.</w:t>
      </w:r>
      <w:r w:rsidR="00476B77">
        <w:rPr>
          <w:rFonts w:ascii="Arial" w:hAnsi="Arial" w:cs="Arial"/>
          <w:bCs/>
          <w:sz w:val="22"/>
        </w:rPr>
        <w:t xml:space="preserve"> The TER of the fund is 0.72%.</w:t>
      </w:r>
      <w:r w:rsidRPr="00A16028">
        <w:rPr>
          <w:rFonts w:ascii="Arial" w:hAnsi="Arial" w:cs="Arial"/>
          <w:bCs/>
          <w:sz w:val="22"/>
        </w:rPr>
        <w:t xml:space="preserve"> </w:t>
      </w:r>
      <w:r w:rsidR="00476B77" w:rsidRPr="00476B77">
        <w:rPr>
          <w:rFonts w:ascii="Arial" w:hAnsi="Arial" w:cs="Arial"/>
          <w:bCs/>
          <w:sz w:val="22"/>
        </w:rPr>
        <w:t xml:space="preserve">The composite benchmark for Dell Balanced Growth </w:t>
      </w:r>
      <w:r w:rsidR="009A367F">
        <w:rPr>
          <w:rFonts w:ascii="Arial" w:hAnsi="Arial" w:cs="Arial"/>
          <w:bCs/>
          <w:sz w:val="22"/>
        </w:rPr>
        <w:t xml:space="preserve">comprises a weighting of each benchmark equal to the underlying fund’s weighting. </w:t>
      </w:r>
      <w:r w:rsidR="00476B77" w:rsidRPr="00476B77">
        <w:rPr>
          <w:rFonts w:ascii="Arial" w:hAnsi="Arial" w:cs="Arial"/>
          <w:bCs/>
          <w:sz w:val="22"/>
        </w:rPr>
        <w:t xml:space="preserve"> </w:t>
      </w:r>
      <w:r w:rsidR="009A367F">
        <w:rPr>
          <w:rFonts w:ascii="Arial" w:hAnsi="Arial" w:cs="Arial"/>
          <w:bCs/>
          <w:sz w:val="22"/>
        </w:rPr>
        <w:t xml:space="preserve">For example, the composite benchmark is comprised of </w:t>
      </w:r>
      <w:r w:rsidR="00476B77" w:rsidRPr="00476B77">
        <w:rPr>
          <w:rFonts w:ascii="Arial" w:hAnsi="Arial" w:cs="Arial"/>
          <w:bCs/>
          <w:sz w:val="22"/>
        </w:rPr>
        <w:t>40.0% LIBOR GBP 1 month</w:t>
      </w:r>
      <w:r w:rsidR="009A367F">
        <w:rPr>
          <w:rFonts w:ascii="Arial" w:hAnsi="Arial" w:cs="Arial"/>
          <w:bCs/>
          <w:sz w:val="22"/>
        </w:rPr>
        <w:t>.</w:t>
      </w:r>
    </w:p>
    <w:p w14:paraId="4FFFD85E" w14:textId="393F3696" w:rsidR="0077657E" w:rsidRPr="00A16028" w:rsidRDefault="0077657E" w:rsidP="00D07CF9">
      <w:pPr>
        <w:pStyle w:val="Heading2"/>
        <w:numPr>
          <w:ilvl w:val="0"/>
          <w:numId w:val="0"/>
        </w:numPr>
        <w:spacing w:before="0" w:after="120" w:line="240" w:lineRule="auto"/>
        <w:rPr>
          <w:rFonts w:ascii="Arial" w:hAnsi="Arial" w:cs="Arial"/>
          <w:bCs/>
          <w:sz w:val="16"/>
        </w:rPr>
      </w:pPr>
    </w:p>
    <w:tbl>
      <w:tblPr>
        <w:tblW w:w="9474" w:type="dxa"/>
        <w:tblInd w:w="-10" w:type="dxa"/>
        <w:tblLayout w:type="fixed"/>
        <w:tblLook w:val="04A0" w:firstRow="1" w:lastRow="0" w:firstColumn="1" w:lastColumn="0" w:noHBand="0" w:noVBand="1"/>
      </w:tblPr>
      <w:tblGrid>
        <w:gridCol w:w="3261"/>
        <w:gridCol w:w="1134"/>
        <w:gridCol w:w="1417"/>
        <w:gridCol w:w="3662"/>
      </w:tblGrid>
      <w:tr w:rsidR="005A6FE1" w:rsidRPr="002D5B51" w14:paraId="4FFFD863" w14:textId="77777777" w:rsidTr="0065296C">
        <w:trPr>
          <w:trHeight w:val="765"/>
        </w:trPr>
        <w:tc>
          <w:tcPr>
            <w:tcW w:w="3261" w:type="dxa"/>
            <w:tcBorders>
              <w:top w:val="single" w:sz="8" w:space="0" w:color="auto"/>
              <w:left w:val="single" w:sz="8" w:space="0" w:color="auto"/>
              <w:bottom w:val="single" w:sz="8" w:space="0" w:color="auto"/>
              <w:right w:val="single" w:sz="8" w:space="0" w:color="auto"/>
            </w:tcBorders>
            <w:shd w:val="clear" w:color="auto" w:fill="8064A2" w:themeFill="accent4"/>
            <w:vAlign w:val="center"/>
            <w:hideMark/>
          </w:tcPr>
          <w:p w14:paraId="4FFFD85F" w14:textId="77777777" w:rsidR="00953C5A" w:rsidRPr="002D5B51" w:rsidRDefault="00953C5A" w:rsidP="00ED7754">
            <w:pPr>
              <w:suppressLineNumbers w:val="0"/>
              <w:tabs>
                <w:tab w:val="clear" w:pos="907"/>
                <w:tab w:val="clear" w:pos="9185"/>
              </w:tabs>
              <w:suppressAutoHyphens w:val="0"/>
              <w:spacing w:line="240" w:lineRule="auto"/>
              <w:jc w:val="left"/>
              <w:rPr>
                <w:rFonts w:ascii="Arial" w:hAnsi="Arial" w:cs="Arial"/>
                <w:b/>
                <w:bCs/>
                <w:color w:val="FFFFFF"/>
                <w:sz w:val="22"/>
                <w:szCs w:val="24"/>
              </w:rPr>
            </w:pPr>
            <w:r w:rsidRPr="002D5B51">
              <w:rPr>
                <w:rFonts w:ascii="Arial" w:hAnsi="Arial" w:cs="Arial"/>
                <w:b/>
                <w:bCs/>
                <w:color w:val="FFFFFF" w:themeColor="background1"/>
                <w:sz w:val="22"/>
                <w:szCs w:val="24"/>
              </w:rPr>
              <w:t>Fund Name</w:t>
            </w:r>
          </w:p>
        </w:tc>
        <w:tc>
          <w:tcPr>
            <w:tcW w:w="1134" w:type="dxa"/>
            <w:tcBorders>
              <w:top w:val="single" w:sz="8" w:space="0" w:color="auto"/>
              <w:left w:val="nil"/>
              <w:bottom w:val="single" w:sz="8" w:space="0" w:color="auto"/>
              <w:right w:val="single" w:sz="8" w:space="0" w:color="auto"/>
            </w:tcBorders>
            <w:shd w:val="clear" w:color="auto" w:fill="8064A2" w:themeFill="accent4"/>
            <w:vAlign w:val="center"/>
            <w:hideMark/>
          </w:tcPr>
          <w:p w14:paraId="4FFFD860" w14:textId="1E988506" w:rsidR="00953C5A" w:rsidRPr="002D5B51" w:rsidRDefault="00476B77">
            <w:pPr>
              <w:suppressLineNumbers w:val="0"/>
              <w:tabs>
                <w:tab w:val="clear" w:pos="907"/>
                <w:tab w:val="clear" w:pos="9185"/>
              </w:tabs>
              <w:suppressAutoHyphens w:val="0"/>
              <w:spacing w:line="240" w:lineRule="auto"/>
              <w:jc w:val="center"/>
              <w:rPr>
                <w:rFonts w:ascii="Arial" w:hAnsi="Arial" w:cs="Arial"/>
                <w:b/>
                <w:bCs/>
                <w:color w:val="FFFFFF"/>
                <w:sz w:val="22"/>
                <w:szCs w:val="24"/>
              </w:rPr>
            </w:pPr>
            <w:r>
              <w:rPr>
                <w:rFonts w:ascii="Arial" w:hAnsi="Arial" w:cs="Arial"/>
                <w:b/>
                <w:bCs/>
                <w:color w:val="FFFFFF" w:themeColor="background1"/>
                <w:sz w:val="22"/>
                <w:szCs w:val="24"/>
              </w:rPr>
              <w:t>Weight (%)</w:t>
            </w:r>
          </w:p>
        </w:tc>
        <w:tc>
          <w:tcPr>
            <w:tcW w:w="1417" w:type="dxa"/>
            <w:tcBorders>
              <w:top w:val="single" w:sz="8" w:space="0" w:color="auto"/>
              <w:left w:val="nil"/>
              <w:bottom w:val="single" w:sz="8" w:space="0" w:color="auto"/>
              <w:right w:val="single" w:sz="8" w:space="0" w:color="auto"/>
            </w:tcBorders>
            <w:shd w:val="clear" w:color="auto" w:fill="8064A2" w:themeFill="accent4"/>
            <w:vAlign w:val="center"/>
            <w:hideMark/>
          </w:tcPr>
          <w:p w14:paraId="4FFFD861" w14:textId="5C34081A" w:rsidR="00953C5A" w:rsidRPr="002D5B51" w:rsidRDefault="00542D93" w:rsidP="00ED7754">
            <w:pPr>
              <w:suppressLineNumbers w:val="0"/>
              <w:tabs>
                <w:tab w:val="clear" w:pos="907"/>
                <w:tab w:val="clear" w:pos="9185"/>
              </w:tabs>
              <w:suppressAutoHyphens w:val="0"/>
              <w:spacing w:line="240" w:lineRule="auto"/>
              <w:jc w:val="center"/>
              <w:rPr>
                <w:rFonts w:ascii="Arial" w:hAnsi="Arial" w:cs="Arial"/>
                <w:b/>
                <w:bCs/>
                <w:color w:val="FFFFFF"/>
                <w:sz w:val="22"/>
                <w:szCs w:val="24"/>
              </w:rPr>
            </w:pPr>
            <w:r>
              <w:rPr>
                <w:rFonts w:ascii="Arial" w:hAnsi="Arial" w:cs="Arial"/>
                <w:b/>
                <w:bCs/>
                <w:color w:val="FFFFFF" w:themeColor="background1"/>
                <w:sz w:val="22"/>
                <w:szCs w:val="24"/>
              </w:rPr>
              <w:t>Investment Approach</w:t>
            </w:r>
          </w:p>
        </w:tc>
        <w:tc>
          <w:tcPr>
            <w:tcW w:w="3662" w:type="dxa"/>
            <w:tcBorders>
              <w:top w:val="single" w:sz="8" w:space="0" w:color="auto"/>
              <w:left w:val="nil"/>
              <w:bottom w:val="single" w:sz="8" w:space="0" w:color="auto"/>
              <w:right w:val="single" w:sz="8" w:space="0" w:color="auto"/>
            </w:tcBorders>
            <w:shd w:val="clear" w:color="auto" w:fill="8064A2" w:themeFill="accent4"/>
            <w:vAlign w:val="center"/>
            <w:hideMark/>
          </w:tcPr>
          <w:p w14:paraId="4FFFD862" w14:textId="77777777" w:rsidR="00953C5A" w:rsidRPr="002D5B51" w:rsidRDefault="00953C5A" w:rsidP="00ED7754">
            <w:pPr>
              <w:suppressLineNumbers w:val="0"/>
              <w:tabs>
                <w:tab w:val="clear" w:pos="907"/>
                <w:tab w:val="clear" w:pos="9185"/>
              </w:tabs>
              <w:suppressAutoHyphens w:val="0"/>
              <w:spacing w:line="240" w:lineRule="auto"/>
              <w:jc w:val="center"/>
              <w:rPr>
                <w:rFonts w:ascii="Arial" w:hAnsi="Arial" w:cs="Arial"/>
                <w:b/>
                <w:bCs/>
                <w:color w:val="FFFFFF"/>
                <w:sz w:val="22"/>
                <w:szCs w:val="24"/>
              </w:rPr>
            </w:pPr>
            <w:r w:rsidRPr="002D5B51">
              <w:rPr>
                <w:rFonts w:ascii="Arial" w:hAnsi="Arial" w:cs="Arial"/>
                <w:b/>
                <w:bCs/>
                <w:color w:val="FFFFFF" w:themeColor="background1"/>
                <w:sz w:val="22"/>
                <w:szCs w:val="24"/>
              </w:rPr>
              <w:t>Benchmark</w:t>
            </w:r>
          </w:p>
        </w:tc>
      </w:tr>
      <w:tr w:rsidR="005A6FE1" w:rsidRPr="002D5B51" w14:paraId="08799137" w14:textId="77777777" w:rsidTr="0065296C">
        <w:trPr>
          <w:trHeight w:val="563"/>
        </w:trPr>
        <w:tc>
          <w:tcPr>
            <w:tcW w:w="3261" w:type="dxa"/>
            <w:tcBorders>
              <w:top w:val="nil"/>
              <w:left w:val="single" w:sz="8" w:space="0" w:color="auto"/>
              <w:bottom w:val="single" w:sz="4" w:space="0" w:color="auto"/>
              <w:right w:val="single" w:sz="8" w:space="0" w:color="auto"/>
            </w:tcBorders>
            <w:shd w:val="clear" w:color="auto" w:fill="auto"/>
            <w:noWrap/>
          </w:tcPr>
          <w:p w14:paraId="45017039" w14:textId="5327ADE1" w:rsidR="00897680" w:rsidRPr="0065296C" w:rsidRDefault="005A6FE1" w:rsidP="0065296C">
            <w:pPr>
              <w:tabs>
                <w:tab w:val="clear" w:pos="907"/>
                <w:tab w:val="clear" w:pos="9185"/>
                <w:tab w:val="left" w:pos="2113"/>
              </w:tabs>
              <w:rPr>
                <w:rFonts w:ascii="Arial" w:hAnsi="Arial" w:cs="Arial"/>
                <w:sz w:val="20"/>
              </w:rPr>
            </w:pPr>
            <w:r>
              <w:rPr>
                <w:rFonts w:ascii="Arial" w:hAnsi="Arial" w:cs="Arial"/>
                <w:color w:val="000000"/>
                <w:sz w:val="20"/>
              </w:rPr>
              <w:t>Newton Real Return Fund</w:t>
            </w:r>
          </w:p>
        </w:tc>
        <w:tc>
          <w:tcPr>
            <w:tcW w:w="1134" w:type="dxa"/>
            <w:tcBorders>
              <w:top w:val="nil"/>
              <w:left w:val="nil"/>
              <w:bottom w:val="single" w:sz="4" w:space="0" w:color="auto"/>
              <w:right w:val="single" w:sz="8" w:space="0" w:color="auto"/>
            </w:tcBorders>
            <w:shd w:val="clear" w:color="auto" w:fill="auto"/>
            <w:noWrap/>
          </w:tcPr>
          <w:p w14:paraId="138AB6AB" w14:textId="26B86A9F" w:rsidR="00897680" w:rsidRPr="002D5B51" w:rsidRDefault="00EC27C0" w:rsidP="00725068">
            <w:pPr>
              <w:suppressLineNumbers w:val="0"/>
              <w:tabs>
                <w:tab w:val="clear" w:pos="907"/>
                <w:tab w:val="clear" w:pos="9185"/>
              </w:tabs>
              <w:suppressAutoHyphens w:val="0"/>
              <w:spacing w:line="240" w:lineRule="auto"/>
              <w:jc w:val="center"/>
              <w:rPr>
                <w:rFonts w:ascii="Arial" w:hAnsi="Arial" w:cs="Arial"/>
                <w:color w:val="000000"/>
                <w:sz w:val="20"/>
              </w:rPr>
            </w:pPr>
            <w:r>
              <w:rPr>
                <w:rFonts w:ascii="Arial" w:hAnsi="Arial" w:cs="Arial"/>
                <w:color w:val="000000"/>
                <w:sz w:val="20"/>
              </w:rPr>
              <w:t>2</w:t>
            </w:r>
            <w:r w:rsidR="00476B77">
              <w:rPr>
                <w:rFonts w:ascii="Arial" w:hAnsi="Arial" w:cs="Arial"/>
                <w:color w:val="000000"/>
                <w:sz w:val="20"/>
              </w:rPr>
              <w:t>0.0</w:t>
            </w:r>
          </w:p>
        </w:tc>
        <w:tc>
          <w:tcPr>
            <w:tcW w:w="1417" w:type="dxa"/>
            <w:tcBorders>
              <w:top w:val="nil"/>
              <w:left w:val="nil"/>
              <w:bottom w:val="single" w:sz="4" w:space="0" w:color="auto"/>
              <w:right w:val="single" w:sz="8" w:space="0" w:color="auto"/>
            </w:tcBorders>
            <w:shd w:val="clear" w:color="auto" w:fill="auto"/>
          </w:tcPr>
          <w:p w14:paraId="4B8E7F29" w14:textId="0F3FA529" w:rsidR="00D07CF9" w:rsidRPr="002D5B51" w:rsidRDefault="005A6FE1">
            <w:pPr>
              <w:tabs>
                <w:tab w:val="left" w:pos="6300"/>
              </w:tabs>
              <w:spacing w:line="240" w:lineRule="auto"/>
              <w:ind w:right="58"/>
              <w:jc w:val="left"/>
              <w:rPr>
                <w:rFonts w:ascii="Arial" w:hAnsi="Arial" w:cs="Arial"/>
                <w:sz w:val="20"/>
              </w:rPr>
            </w:pPr>
            <w:r>
              <w:rPr>
                <w:rFonts w:ascii="Arial" w:hAnsi="Arial" w:cs="Arial"/>
                <w:sz w:val="20"/>
              </w:rPr>
              <w:t>Active</w:t>
            </w:r>
          </w:p>
        </w:tc>
        <w:tc>
          <w:tcPr>
            <w:tcW w:w="3662" w:type="dxa"/>
            <w:tcBorders>
              <w:top w:val="nil"/>
              <w:left w:val="nil"/>
              <w:bottom w:val="single" w:sz="4" w:space="0" w:color="auto"/>
              <w:right w:val="single" w:sz="8" w:space="0" w:color="auto"/>
            </w:tcBorders>
            <w:shd w:val="clear" w:color="auto" w:fill="auto"/>
          </w:tcPr>
          <w:p w14:paraId="34B114D9" w14:textId="028C8CA0" w:rsidR="00897680" w:rsidRPr="002D5B51" w:rsidRDefault="005A6FE1" w:rsidP="00725068">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sz w:val="20"/>
              </w:rPr>
              <w:t>100% 1 Month GBP LIBOR +4%</w:t>
            </w:r>
          </w:p>
        </w:tc>
      </w:tr>
      <w:tr w:rsidR="005A6FE1" w:rsidRPr="002D5B51" w14:paraId="4FFFD86D" w14:textId="77777777" w:rsidTr="0065296C">
        <w:trPr>
          <w:trHeight w:val="551"/>
        </w:trPr>
        <w:tc>
          <w:tcPr>
            <w:tcW w:w="3261" w:type="dxa"/>
            <w:tcBorders>
              <w:top w:val="single" w:sz="4" w:space="0" w:color="auto"/>
              <w:left w:val="single" w:sz="8" w:space="0" w:color="auto"/>
              <w:bottom w:val="single" w:sz="8" w:space="0" w:color="auto"/>
              <w:right w:val="single" w:sz="8" w:space="0" w:color="auto"/>
            </w:tcBorders>
            <w:shd w:val="clear" w:color="auto" w:fill="auto"/>
            <w:noWrap/>
            <w:hideMark/>
          </w:tcPr>
          <w:p w14:paraId="4FFFD869" w14:textId="2092CDDB" w:rsidR="00897680" w:rsidRPr="002D5B51" w:rsidRDefault="00B8108E" w:rsidP="00725068">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color w:val="000000"/>
                <w:sz w:val="20"/>
              </w:rPr>
              <w:t xml:space="preserve">Standard Life Global </w:t>
            </w:r>
            <w:r w:rsidR="0052407D">
              <w:rPr>
                <w:rFonts w:ascii="Arial" w:hAnsi="Arial" w:cs="Arial"/>
                <w:color w:val="000000"/>
                <w:sz w:val="20"/>
              </w:rPr>
              <w:t>Absolute</w:t>
            </w:r>
            <w:r>
              <w:rPr>
                <w:rFonts w:ascii="Arial" w:hAnsi="Arial" w:cs="Arial"/>
                <w:color w:val="000000"/>
                <w:sz w:val="20"/>
              </w:rPr>
              <w:t xml:space="preserve"> Return Strategy</w:t>
            </w:r>
          </w:p>
        </w:tc>
        <w:tc>
          <w:tcPr>
            <w:tcW w:w="1134" w:type="dxa"/>
            <w:tcBorders>
              <w:top w:val="single" w:sz="4" w:space="0" w:color="auto"/>
              <w:left w:val="nil"/>
              <w:bottom w:val="single" w:sz="8" w:space="0" w:color="auto"/>
              <w:right w:val="single" w:sz="8" w:space="0" w:color="auto"/>
            </w:tcBorders>
            <w:shd w:val="clear" w:color="auto" w:fill="auto"/>
            <w:noWrap/>
          </w:tcPr>
          <w:p w14:paraId="4FFFD86A" w14:textId="3AF00886" w:rsidR="00897680" w:rsidRPr="002D5B51" w:rsidRDefault="00476B77" w:rsidP="00725068">
            <w:pPr>
              <w:suppressLineNumbers w:val="0"/>
              <w:tabs>
                <w:tab w:val="clear" w:pos="907"/>
                <w:tab w:val="clear" w:pos="9185"/>
              </w:tabs>
              <w:suppressAutoHyphens w:val="0"/>
              <w:spacing w:line="240" w:lineRule="auto"/>
              <w:jc w:val="center"/>
              <w:rPr>
                <w:rFonts w:ascii="Arial" w:hAnsi="Arial" w:cs="Arial"/>
                <w:color w:val="000000"/>
                <w:sz w:val="20"/>
              </w:rPr>
            </w:pPr>
            <w:r>
              <w:rPr>
                <w:rFonts w:ascii="Arial" w:hAnsi="Arial" w:cs="Arial"/>
                <w:color w:val="000000"/>
                <w:sz w:val="20"/>
              </w:rPr>
              <w:t>20.0</w:t>
            </w:r>
          </w:p>
        </w:tc>
        <w:tc>
          <w:tcPr>
            <w:tcW w:w="1417" w:type="dxa"/>
            <w:tcBorders>
              <w:top w:val="single" w:sz="4" w:space="0" w:color="auto"/>
              <w:left w:val="nil"/>
              <w:bottom w:val="single" w:sz="8" w:space="0" w:color="auto"/>
              <w:right w:val="single" w:sz="8" w:space="0" w:color="auto"/>
            </w:tcBorders>
            <w:shd w:val="clear" w:color="auto" w:fill="auto"/>
            <w:hideMark/>
          </w:tcPr>
          <w:p w14:paraId="4FFFD86B" w14:textId="167B162B" w:rsidR="00897680" w:rsidRPr="002D5B51" w:rsidRDefault="00B8108E" w:rsidP="00725068">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color w:val="000000"/>
                <w:sz w:val="20"/>
              </w:rPr>
              <w:t>Active</w:t>
            </w:r>
          </w:p>
        </w:tc>
        <w:tc>
          <w:tcPr>
            <w:tcW w:w="3662" w:type="dxa"/>
            <w:tcBorders>
              <w:top w:val="single" w:sz="4" w:space="0" w:color="auto"/>
              <w:left w:val="nil"/>
              <w:bottom w:val="single" w:sz="8" w:space="0" w:color="auto"/>
              <w:right w:val="single" w:sz="8" w:space="0" w:color="auto"/>
            </w:tcBorders>
            <w:shd w:val="clear" w:color="auto" w:fill="auto"/>
            <w:hideMark/>
          </w:tcPr>
          <w:p w14:paraId="4FFFD86C" w14:textId="0B0E1AB5" w:rsidR="00897680" w:rsidRPr="002D5B51" w:rsidRDefault="00B8108E" w:rsidP="00725068">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color w:val="000000"/>
                <w:sz w:val="20"/>
              </w:rPr>
              <w:t>100% 6 Month GBP LIBOR +5%</w:t>
            </w:r>
          </w:p>
        </w:tc>
      </w:tr>
      <w:tr w:rsidR="00476B77" w:rsidRPr="002D5B51" w14:paraId="7D40E3D7" w14:textId="77777777" w:rsidTr="00721B9A">
        <w:trPr>
          <w:trHeight w:val="513"/>
        </w:trPr>
        <w:tc>
          <w:tcPr>
            <w:tcW w:w="3261" w:type="dxa"/>
            <w:tcBorders>
              <w:top w:val="nil"/>
              <w:left w:val="single" w:sz="8" w:space="0" w:color="auto"/>
              <w:bottom w:val="single" w:sz="8" w:space="0" w:color="auto"/>
              <w:right w:val="single" w:sz="8" w:space="0" w:color="auto"/>
            </w:tcBorders>
            <w:shd w:val="clear" w:color="auto" w:fill="auto"/>
            <w:noWrap/>
          </w:tcPr>
          <w:p w14:paraId="6E073EFB" w14:textId="77777777" w:rsidR="00476B77" w:rsidRPr="002D5B51" w:rsidRDefault="00476B77" w:rsidP="00721B9A">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color w:val="000000"/>
                <w:sz w:val="20"/>
              </w:rPr>
              <w:t>Fidelity UK Corporate Bond Fund</w:t>
            </w:r>
          </w:p>
        </w:tc>
        <w:tc>
          <w:tcPr>
            <w:tcW w:w="1134" w:type="dxa"/>
            <w:tcBorders>
              <w:top w:val="nil"/>
              <w:left w:val="nil"/>
              <w:bottom w:val="single" w:sz="8" w:space="0" w:color="auto"/>
              <w:right w:val="single" w:sz="8" w:space="0" w:color="auto"/>
            </w:tcBorders>
            <w:shd w:val="clear" w:color="auto" w:fill="auto"/>
            <w:noWrap/>
          </w:tcPr>
          <w:p w14:paraId="270813A7" w14:textId="0BDF0C03" w:rsidR="00476B77" w:rsidRPr="002D5B51" w:rsidRDefault="00EC27C0" w:rsidP="00721B9A">
            <w:pPr>
              <w:suppressLineNumbers w:val="0"/>
              <w:tabs>
                <w:tab w:val="clear" w:pos="907"/>
                <w:tab w:val="clear" w:pos="9185"/>
              </w:tabs>
              <w:suppressAutoHyphens w:val="0"/>
              <w:spacing w:line="240" w:lineRule="auto"/>
              <w:jc w:val="center"/>
              <w:rPr>
                <w:rFonts w:ascii="Arial" w:hAnsi="Arial" w:cs="Arial"/>
                <w:color w:val="000000"/>
                <w:sz w:val="20"/>
              </w:rPr>
            </w:pPr>
            <w:r>
              <w:rPr>
                <w:rFonts w:ascii="Arial" w:hAnsi="Arial" w:cs="Arial"/>
                <w:color w:val="000000"/>
                <w:sz w:val="20"/>
              </w:rPr>
              <w:t>2</w:t>
            </w:r>
            <w:r w:rsidR="00476B77">
              <w:rPr>
                <w:rFonts w:ascii="Arial" w:hAnsi="Arial" w:cs="Arial"/>
                <w:color w:val="000000"/>
                <w:sz w:val="20"/>
              </w:rPr>
              <w:t>5.0</w:t>
            </w:r>
          </w:p>
        </w:tc>
        <w:tc>
          <w:tcPr>
            <w:tcW w:w="1417" w:type="dxa"/>
            <w:tcBorders>
              <w:top w:val="nil"/>
              <w:left w:val="nil"/>
              <w:bottom w:val="single" w:sz="8" w:space="0" w:color="auto"/>
              <w:right w:val="single" w:sz="8" w:space="0" w:color="auto"/>
            </w:tcBorders>
            <w:shd w:val="clear" w:color="auto" w:fill="auto"/>
          </w:tcPr>
          <w:p w14:paraId="7BE6B9DE" w14:textId="77777777" w:rsidR="00476B77" w:rsidRPr="002D5B51" w:rsidRDefault="00476B77" w:rsidP="00721B9A">
            <w:pPr>
              <w:spacing w:line="240" w:lineRule="auto"/>
              <w:jc w:val="left"/>
              <w:rPr>
                <w:rFonts w:ascii="Arial" w:hAnsi="Arial" w:cs="Arial"/>
                <w:sz w:val="20"/>
              </w:rPr>
            </w:pPr>
            <w:r>
              <w:rPr>
                <w:rFonts w:ascii="Arial" w:hAnsi="Arial" w:cs="Arial"/>
                <w:sz w:val="20"/>
              </w:rPr>
              <w:t xml:space="preserve">Active </w:t>
            </w:r>
          </w:p>
        </w:tc>
        <w:tc>
          <w:tcPr>
            <w:tcW w:w="3662" w:type="dxa"/>
            <w:tcBorders>
              <w:top w:val="nil"/>
              <w:left w:val="nil"/>
              <w:bottom w:val="single" w:sz="8" w:space="0" w:color="auto"/>
              <w:right w:val="single" w:sz="8" w:space="0" w:color="auto"/>
            </w:tcBorders>
            <w:shd w:val="clear" w:color="auto" w:fill="auto"/>
          </w:tcPr>
          <w:p w14:paraId="5D756F6F" w14:textId="77777777" w:rsidR="00476B77" w:rsidRPr="002D5B51" w:rsidRDefault="00476B77" w:rsidP="00721B9A">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sz w:val="20"/>
              </w:rPr>
              <w:t xml:space="preserve">100% ML Euro Sterling – Total Return </w:t>
            </w:r>
          </w:p>
        </w:tc>
      </w:tr>
      <w:tr w:rsidR="00476B77" w:rsidRPr="002D5B51" w14:paraId="25535CBB" w14:textId="77777777" w:rsidTr="00721B9A">
        <w:trPr>
          <w:trHeight w:val="975"/>
        </w:trPr>
        <w:tc>
          <w:tcPr>
            <w:tcW w:w="3261" w:type="dxa"/>
            <w:tcBorders>
              <w:top w:val="nil"/>
              <w:left w:val="single" w:sz="8" w:space="0" w:color="auto"/>
              <w:bottom w:val="single" w:sz="4" w:space="0" w:color="auto"/>
              <w:right w:val="single" w:sz="8" w:space="0" w:color="auto"/>
            </w:tcBorders>
            <w:shd w:val="clear" w:color="auto" w:fill="auto"/>
            <w:noWrap/>
            <w:hideMark/>
          </w:tcPr>
          <w:p w14:paraId="64FA4B56" w14:textId="77777777" w:rsidR="00476B77" w:rsidRPr="002D5B51" w:rsidRDefault="00476B77" w:rsidP="00721B9A">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color w:val="000000"/>
                <w:sz w:val="20"/>
              </w:rPr>
              <w:t>L&amp;G Global Equity 50:50 Index Fund</w:t>
            </w:r>
          </w:p>
        </w:tc>
        <w:tc>
          <w:tcPr>
            <w:tcW w:w="1134" w:type="dxa"/>
            <w:tcBorders>
              <w:top w:val="nil"/>
              <w:left w:val="nil"/>
              <w:bottom w:val="single" w:sz="4" w:space="0" w:color="auto"/>
              <w:right w:val="single" w:sz="8" w:space="0" w:color="auto"/>
            </w:tcBorders>
            <w:shd w:val="clear" w:color="auto" w:fill="auto"/>
            <w:noWrap/>
          </w:tcPr>
          <w:p w14:paraId="712900E0" w14:textId="06DC960D" w:rsidR="00476B77" w:rsidRPr="002D5B51" w:rsidRDefault="00EC27C0" w:rsidP="00721B9A">
            <w:pPr>
              <w:suppressLineNumbers w:val="0"/>
              <w:tabs>
                <w:tab w:val="clear" w:pos="907"/>
                <w:tab w:val="clear" w:pos="9185"/>
              </w:tabs>
              <w:suppressAutoHyphens w:val="0"/>
              <w:spacing w:line="240" w:lineRule="auto"/>
              <w:jc w:val="center"/>
              <w:rPr>
                <w:rFonts w:ascii="Arial" w:hAnsi="Arial" w:cs="Arial"/>
                <w:color w:val="000000"/>
                <w:sz w:val="20"/>
              </w:rPr>
            </w:pPr>
            <w:r>
              <w:rPr>
                <w:rFonts w:ascii="Arial" w:hAnsi="Arial" w:cs="Arial"/>
                <w:color w:val="000000"/>
                <w:sz w:val="20"/>
              </w:rPr>
              <w:t>2</w:t>
            </w:r>
            <w:r w:rsidR="00476B77">
              <w:rPr>
                <w:rFonts w:ascii="Arial" w:hAnsi="Arial" w:cs="Arial"/>
                <w:color w:val="000000"/>
                <w:sz w:val="20"/>
              </w:rPr>
              <w:t>0.0</w:t>
            </w:r>
          </w:p>
        </w:tc>
        <w:tc>
          <w:tcPr>
            <w:tcW w:w="1417" w:type="dxa"/>
            <w:tcBorders>
              <w:top w:val="nil"/>
              <w:left w:val="nil"/>
              <w:bottom w:val="single" w:sz="4" w:space="0" w:color="auto"/>
              <w:right w:val="single" w:sz="8" w:space="0" w:color="auto"/>
            </w:tcBorders>
            <w:shd w:val="clear" w:color="auto" w:fill="auto"/>
            <w:hideMark/>
          </w:tcPr>
          <w:p w14:paraId="4D137B06" w14:textId="6A8C39B7" w:rsidR="00476B77" w:rsidRPr="002D5B51" w:rsidRDefault="003A372E" w:rsidP="00721B9A">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color w:val="000000"/>
                <w:sz w:val="20"/>
              </w:rPr>
              <w:t>Passive</w:t>
            </w:r>
          </w:p>
        </w:tc>
        <w:tc>
          <w:tcPr>
            <w:tcW w:w="3662" w:type="dxa"/>
            <w:tcBorders>
              <w:top w:val="nil"/>
              <w:left w:val="nil"/>
              <w:bottom w:val="single" w:sz="4" w:space="0" w:color="auto"/>
              <w:right w:val="single" w:sz="8" w:space="0" w:color="auto"/>
            </w:tcBorders>
            <w:shd w:val="clear" w:color="auto" w:fill="auto"/>
            <w:hideMark/>
          </w:tcPr>
          <w:p w14:paraId="7F637383" w14:textId="77777777" w:rsidR="00476B77" w:rsidRPr="002D5B51" w:rsidRDefault="00476B77" w:rsidP="00721B9A">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color w:val="000000"/>
                <w:sz w:val="20"/>
              </w:rPr>
              <w:t>Composite benchmark based on 50% FTSE All-Share Index and 50% Composite World Index (ex UK)</w:t>
            </w:r>
          </w:p>
        </w:tc>
      </w:tr>
      <w:tr w:rsidR="005A6FE1" w:rsidRPr="002D5B51" w14:paraId="4FFFD872" w14:textId="77777777" w:rsidTr="0065296C">
        <w:trPr>
          <w:trHeight w:val="708"/>
        </w:trPr>
        <w:tc>
          <w:tcPr>
            <w:tcW w:w="3261" w:type="dxa"/>
            <w:tcBorders>
              <w:top w:val="nil"/>
              <w:left w:val="single" w:sz="8" w:space="0" w:color="auto"/>
              <w:bottom w:val="single" w:sz="8" w:space="0" w:color="auto"/>
              <w:right w:val="single" w:sz="8" w:space="0" w:color="auto"/>
            </w:tcBorders>
            <w:shd w:val="clear" w:color="auto" w:fill="auto"/>
            <w:noWrap/>
            <w:hideMark/>
          </w:tcPr>
          <w:p w14:paraId="4FFFD86E" w14:textId="3723563D" w:rsidR="00897680" w:rsidRPr="002D5B51" w:rsidRDefault="00B8108E" w:rsidP="00725068">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color w:val="000000"/>
                <w:sz w:val="20"/>
              </w:rPr>
              <w:t>BlackRock DC Diversified Growth Fund</w:t>
            </w:r>
          </w:p>
        </w:tc>
        <w:tc>
          <w:tcPr>
            <w:tcW w:w="1134" w:type="dxa"/>
            <w:tcBorders>
              <w:top w:val="nil"/>
              <w:left w:val="nil"/>
              <w:bottom w:val="single" w:sz="8" w:space="0" w:color="auto"/>
              <w:right w:val="single" w:sz="8" w:space="0" w:color="auto"/>
            </w:tcBorders>
            <w:shd w:val="clear" w:color="auto" w:fill="auto"/>
            <w:noWrap/>
          </w:tcPr>
          <w:p w14:paraId="4FFFD86F" w14:textId="61B03CBF" w:rsidR="00897680" w:rsidRPr="002D5B51" w:rsidRDefault="00476B77" w:rsidP="00725068">
            <w:pPr>
              <w:suppressLineNumbers w:val="0"/>
              <w:tabs>
                <w:tab w:val="clear" w:pos="907"/>
                <w:tab w:val="clear" w:pos="9185"/>
              </w:tabs>
              <w:suppressAutoHyphens w:val="0"/>
              <w:spacing w:line="240" w:lineRule="auto"/>
              <w:jc w:val="center"/>
              <w:rPr>
                <w:rFonts w:ascii="Arial" w:hAnsi="Arial" w:cs="Arial"/>
                <w:color w:val="000000"/>
                <w:sz w:val="20"/>
              </w:rPr>
            </w:pPr>
            <w:r>
              <w:rPr>
                <w:rFonts w:ascii="Arial" w:hAnsi="Arial" w:cs="Arial"/>
                <w:color w:val="000000"/>
                <w:sz w:val="20"/>
              </w:rPr>
              <w:t>10.0</w:t>
            </w:r>
          </w:p>
        </w:tc>
        <w:tc>
          <w:tcPr>
            <w:tcW w:w="1417" w:type="dxa"/>
            <w:tcBorders>
              <w:top w:val="nil"/>
              <w:left w:val="nil"/>
              <w:bottom w:val="single" w:sz="8" w:space="0" w:color="auto"/>
              <w:right w:val="single" w:sz="8" w:space="0" w:color="auto"/>
            </w:tcBorders>
            <w:shd w:val="clear" w:color="auto" w:fill="auto"/>
            <w:hideMark/>
          </w:tcPr>
          <w:p w14:paraId="4FFFD870" w14:textId="383FCBC8" w:rsidR="00897680" w:rsidRPr="002D5B51" w:rsidRDefault="00B8108E" w:rsidP="00725068">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color w:val="000000"/>
                <w:sz w:val="20"/>
              </w:rPr>
              <w:t>Active</w:t>
            </w:r>
          </w:p>
        </w:tc>
        <w:tc>
          <w:tcPr>
            <w:tcW w:w="3662" w:type="dxa"/>
            <w:tcBorders>
              <w:top w:val="nil"/>
              <w:left w:val="nil"/>
              <w:bottom w:val="single" w:sz="8" w:space="0" w:color="auto"/>
              <w:right w:val="single" w:sz="8" w:space="0" w:color="auto"/>
            </w:tcBorders>
            <w:shd w:val="clear" w:color="auto" w:fill="auto"/>
            <w:hideMark/>
          </w:tcPr>
          <w:p w14:paraId="4FFFD871" w14:textId="027989A2" w:rsidR="00897680" w:rsidRPr="002D5B51" w:rsidRDefault="00B8108E" w:rsidP="00725068">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color w:val="000000"/>
                <w:sz w:val="20"/>
              </w:rPr>
              <w:t>Bank of England Base Rate +3.5%</w:t>
            </w:r>
          </w:p>
        </w:tc>
      </w:tr>
      <w:tr w:rsidR="005A6FE1" w:rsidRPr="002D5B51" w14:paraId="5835B8A0" w14:textId="77777777" w:rsidTr="0065296C">
        <w:trPr>
          <w:trHeight w:val="758"/>
        </w:trPr>
        <w:tc>
          <w:tcPr>
            <w:tcW w:w="3261" w:type="dxa"/>
            <w:tcBorders>
              <w:top w:val="single" w:sz="4" w:space="0" w:color="auto"/>
              <w:left w:val="single" w:sz="8" w:space="0" w:color="auto"/>
              <w:bottom w:val="single" w:sz="8" w:space="0" w:color="auto"/>
              <w:right w:val="single" w:sz="8" w:space="0" w:color="auto"/>
            </w:tcBorders>
            <w:shd w:val="clear" w:color="auto" w:fill="auto"/>
            <w:noWrap/>
            <w:hideMark/>
          </w:tcPr>
          <w:p w14:paraId="7BF82E3E" w14:textId="0BA1B464" w:rsidR="00897680" w:rsidRPr="002D5B51" w:rsidRDefault="00B8108E" w:rsidP="00725068">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color w:val="000000"/>
                <w:sz w:val="20"/>
              </w:rPr>
              <w:t>BlackRock Emerging Markets Index Fund</w:t>
            </w:r>
          </w:p>
        </w:tc>
        <w:tc>
          <w:tcPr>
            <w:tcW w:w="1134" w:type="dxa"/>
            <w:tcBorders>
              <w:top w:val="single" w:sz="4" w:space="0" w:color="auto"/>
              <w:left w:val="nil"/>
              <w:bottom w:val="single" w:sz="8" w:space="0" w:color="auto"/>
              <w:right w:val="single" w:sz="8" w:space="0" w:color="auto"/>
            </w:tcBorders>
            <w:shd w:val="clear" w:color="auto" w:fill="auto"/>
            <w:noWrap/>
          </w:tcPr>
          <w:p w14:paraId="7B130C69" w14:textId="55921E12" w:rsidR="00897680" w:rsidRPr="002D5B51" w:rsidRDefault="00476B77" w:rsidP="00725068">
            <w:pPr>
              <w:suppressLineNumbers w:val="0"/>
              <w:tabs>
                <w:tab w:val="clear" w:pos="907"/>
                <w:tab w:val="clear" w:pos="9185"/>
              </w:tabs>
              <w:suppressAutoHyphens w:val="0"/>
              <w:spacing w:line="240" w:lineRule="auto"/>
              <w:jc w:val="center"/>
              <w:rPr>
                <w:rFonts w:ascii="Arial" w:hAnsi="Arial" w:cs="Arial"/>
                <w:color w:val="000000"/>
                <w:sz w:val="20"/>
              </w:rPr>
            </w:pPr>
            <w:r>
              <w:rPr>
                <w:rFonts w:ascii="Arial" w:hAnsi="Arial" w:cs="Arial"/>
                <w:color w:val="000000"/>
                <w:sz w:val="20"/>
              </w:rPr>
              <w:t>5.0</w:t>
            </w:r>
          </w:p>
        </w:tc>
        <w:tc>
          <w:tcPr>
            <w:tcW w:w="1417" w:type="dxa"/>
            <w:tcBorders>
              <w:top w:val="single" w:sz="4" w:space="0" w:color="auto"/>
              <w:left w:val="nil"/>
              <w:bottom w:val="single" w:sz="8" w:space="0" w:color="auto"/>
              <w:right w:val="single" w:sz="8" w:space="0" w:color="auto"/>
            </w:tcBorders>
            <w:shd w:val="clear" w:color="auto" w:fill="auto"/>
            <w:hideMark/>
          </w:tcPr>
          <w:p w14:paraId="24D01D25" w14:textId="31F7F6EC" w:rsidR="00897680" w:rsidRPr="002D5B51" w:rsidRDefault="00B8108E" w:rsidP="00725068">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color w:val="000000"/>
                <w:sz w:val="20"/>
              </w:rPr>
              <w:t>Passive</w:t>
            </w:r>
          </w:p>
        </w:tc>
        <w:tc>
          <w:tcPr>
            <w:tcW w:w="3662" w:type="dxa"/>
            <w:tcBorders>
              <w:top w:val="single" w:sz="4" w:space="0" w:color="auto"/>
              <w:left w:val="nil"/>
              <w:bottom w:val="single" w:sz="8" w:space="0" w:color="auto"/>
              <w:right w:val="single" w:sz="8" w:space="0" w:color="auto"/>
            </w:tcBorders>
            <w:shd w:val="clear" w:color="auto" w:fill="auto"/>
            <w:hideMark/>
          </w:tcPr>
          <w:p w14:paraId="5EFAD7CD" w14:textId="7A21D9F1" w:rsidR="00897680" w:rsidRPr="002D5B51" w:rsidRDefault="00B8108E" w:rsidP="00725068">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color w:val="000000"/>
                <w:sz w:val="20"/>
              </w:rPr>
              <w:t>MSCI Emerging Markets Index</w:t>
            </w:r>
          </w:p>
        </w:tc>
      </w:tr>
    </w:tbl>
    <w:p w14:paraId="69487EA0" w14:textId="77777777" w:rsidR="006A7093" w:rsidRDefault="006A7093" w:rsidP="002766B1"/>
    <w:p w14:paraId="27DCD9F7" w14:textId="77777777" w:rsidR="00F4308D" w:rsidRDefault="00F4308D" w:rsidP="002766B1"/>
    <w:p w14:paraId="5F18BBD1" w14:textId="69191F22" w:rsidR="005D7DBB" w:rsidRDefault="00476B77" w:rsidP="0065296C">
      <w:pPr>
        <w:pStyle w:val="Heading2"/>
        <w:numPr>
          <w:ilvl w:val="0"/>
          <w:numId w:val="0"/>
        </w:numPr>
        <w:spacing w:before="60" w:after="120" w:line="240" w:lineRule="auto"/>
        <w:rPr>
          <w:rFonts w:ascii="Arial" w:hAnsi="Arial" w:cs="Arial"/>
          <w:sz w:val="22"/>
        </w:rPr>
      </w:pPr>
      <w:r>
        <w:rPr>
          <w:rFonts w:ascii="Arial" w:hAnsi="Arial" w:cs="Arial"/>
          <w:bCs/>
          <w:sz w:val="22"/>
        </w:rPr>
        <w:t>Below are the lifestyle matrices for the 5 lifestyle option available for members to choose from</w:t>
      </w:r>
      <w:r w:rsidR="009A367F">
        <w:rPr>
          <w:rFonts w:ascii="Arial" w:hAnsi="Arial" w:cs="Arial"/>
          <w:bCs/>
          <w:sz w:val="22"/>
        </w:rPr>
        <w:t>:</w:t>
      </w:r>
      <w:r w:rsidR="007B5B2D">
        <w:rPr>
          <w:rFonts w:ascii="Arial" w:hAnsi="Arial" w:cs="Arial"/>
          <w:bCs/>
          <w:sz w:val="22"/>
        </w:rPr>
        <w:t xml:space="preserve"> Balanced Growth – Annuity Lifestyle (Default), </w:t>
      </w:r>
      <w:r w:rsidR="005731AA">
        <w:rPr>
          <w:rFonts w:ascii="Arial" w:hAnsi="Arial" w:cs="Arial"/>
          <w:bCs/>
          <w:sz w:val="22"/>
        </w:rPr>
        <w:t xml:space="preserve">Balanced Growth – Drawdown </w:t>
      </w:r>
      <w:proofErr w:type="spellStart"/>
      <w:r w:rsidR="005731AA">
        <w:rPr>
          <w:rFonts w:ascii="Arial" w:hAnsi="Arial" w:cs="Arial"/>
          <w:bCs/>
          <w:sz w:val="22"/>
        </w:rPr>
        <w:t>Lifesetyle</w:t>
      </w:r>
      <w:proofErr w:type="spellEnd"/>
      <w:r w:rsidR="005731AA">
        <w:rPr>
          <w:rFonts w:ascii="Arial" w:hAnsi="Arial" w:cs="Arial"/>
          <w:bCs/>
          <w:sz w:val="22"/>
        </w:rPr>
        <w:t xml:space="preserve">, Balanced Growth – Lump Sum Lifestyle, </w:t>
      </w:r>
      <w:r w:rsidR="007B5B2D">
        <w:rPr>
          <w:rFonts w:ascii="Arial" w:hAnsi="Arial" w:cs="Arial"/>
          <w:bCs/>
          <w:sz w:val="22"/>
        </w:rPr>
        <w:t xml:space="preserve">Higher </w:t>
      </w:r>
      <w:r w:rsidR="00F4308D">
        <w:rPr>
          <w:rFonts w:ascii="Arial" w:hAnsi="Arial" w:cs="Arial"/>
          <w:bCs/>
          <w:sz w:val="22"/>
        </w:rPr>
        <w:t>Growth</w:t>
      </w:r>
      <w:r w:rsidR="005731AA">
        <w:rPr>
          <w:rFonts w:ascii="Arial" w:hAnsi="Arial" w:cs="Arial"/>
          <w:bCs/>
          <w:sz w:val="22"/>
        </w:rPr>
        <w:t xml:space="preserve"> – Annuity Lifestyle and</w:t>
      </w:r>
      <w:r w:rsidR="007B5B2D">
        <w:rPr>
          <w:rFonts w:ascii="Arial" w:hAnsi="Arial" w:cs="Arial"/>
          <w:bCs/>
          <w:sz w:val="22"/>
        </w:rPr>
        <w:t xml:space="preserve"> </w:t>
      </w:r>
      <w:r w:rsidR="00F4308D">
        <w:rPr>
          <w:rFonts w:ascii="Arial" w:hAnsi="Arial" w:cs="Arial"/>
          <w:bCs/>
          <w:sz w:val="22"/>
        </w:rPr>
        <w:t xml:space="preserve">Adventurous – Annuity </w:t>
      </w:r>
      <w:proofErr w:type="gramStart"/>
      <w:r w:rsidR="00F4308D">
        <w:rPr>
          <w:rFonts w:ascii="Arial" w:hAnsi="Arial" w:cs="Arial"/>
          <w:bCs/>
          <w:sz w:val="22"/>
        </w:rPr>
        <w:t>Lifestyle,</w:t>
      </w:r>
      <w:r>
        <w:rPr>
          <w:rFonts w:ascii="Arial" w:hAnsi="Arial" w:cs="Arial"/>
          <w:bCs/>
          <w:sz w:val="22"/>
        </w:rPr>
        <w:t>.</w:t>
      </w:r>
      <w:proofErr w:type="gramEnd"/>
      <w:r>
        <w:rPr>
          <w:rFonts w:ascii="Arial" w:hAnsi="Arial" w:cs="Arial"/>
          <w:bCs/>
          <w:sz w:val="22"/>
        </w:rPr>
        <w:t xml:space="preserve"> T</w:t>
      </w:r>
      <w:r w:rsidRPr="00A16028">
        <w:rPr>
          <w:rFonts w:ascii="Arial" w:hAnsi="Arial" w:cs="Arial"/>
          <w:bCs/>
          <w:sz w:val="22"/>
        </w:rPr>
        <w:t xml:space="preserve">he funds gain exposure to assets by investing in one or more underlying funds. These funds may use derivatives </w:t>
      </w:r>
      <w:proofErr w:type="gramStart"/>
      <w:r w:rsidRPr="00A16028">
        <w:rPr>
          <w:rFonts w:ascii="Arial" w:hAnsi="Arial" w:cs="Arial"/>
          <w:bCs/>
          <w:sz w:val="22"/>
        </w:rPr>
        <w:t>for the purpose of</w:t>
      </w:r>
      <w:proofErr w:type="gramEnd"/>
      <w:r w:rsidRPr="00A16028">
        <w:rPr>
          <w:rFonts w:ascii="Arial" w:hAnsi="Arial" w:cs="Arial"/>
          <w:bCs/>
          <w:sz w:val="22"/>
        </w:rPr>
        <w:t xml:space="preserve"> efficient portfolio management, reduction of risk or to meet their respective investment objective if this is permitted and appropriate. The underlying funds of the DC fund range may be actively or passively managed depending on the DC fund.</w:t>
      </w:r>
      <w:r w:rsidRPr="00A16028">
        <w:rPr>
          <w:rFonts w:ascii="Arial" w:hAnsi="Arial" w:cs="Arial"/>
          <w:sz w:val="22"/>
        </w:rPr>
        <w:t xml:space="preserve"> </w:t>
      </w:r>
    </w:p>
    <w:p w14:paraId="5EA290ED" w14:textId="77777777" w:rsidR="00F4308D" w:rsidRDefault="00F4308D" w:rsidP="0065296C">
      <w:pPr>
        <w:pStyle w:val="Heading2"/>
        <w:numPr>
          <w:ilvl w:val="0"/>
          <w:numId w:val="0"/>
        </w:numPr>
        <w:spacing w:before="60" w:after="120" w:line="240" w:lineRule="auto"/>
        <w:rPr>
          <w:rFonts w:ascii="Arial" w:hAnsi="Arial" w:cs="Arial"/>
          <w:sz w:val="22"/>
        </w:rPr>
      </w:pPr>
    </w:p>
    <w:p w14:paraId="1D9EB6C8" w14:textId="77777777" w:rsidR="00F4308D" w:rsidRDefault="00F4308D" w:rsidP="0065296C">
      <w:pPr>
        <w:pStyle w:val="Heading2"/>
        <w:numPr>
          <w:ilvl w:val="0"/>
          <w:numId w:val="0"/>
        </w:numPr>
        <w:spacing w:before="60" w:after="120" w:line="240" w:lineRule="auto"/>
        <w:rPr>
          <w:rFonts w:ascii="Arial" w:hAnsi="Arial" w:cs="Arial"/>
          <w:sz w:val="22"/>
        </w:rPr>
      </w:pPr>
    </w:p>
    <w:p w14:paraId="6CD6D299" w14:textId="77777777" w:rsidR="00F4308D" w:rsidRDefault="00F4308D" w:rsidP="0065296C">
      <w:pPr>
        <w:pStyle w:val="Heading2"/>
        <w:numPr>
          <w:ilvl w:val="0"/>
          <w:numId w:val="0"/>
        </w:numPr>
        <w:spacing w:before="60" w:after="120" w:line="240" w:lineRule="auto"/>
        <w:rPr>
          <w:rFonts w:ascii="Arial" w:hAnsi="Arial" w:cs="Arial"/>
          <w:sz w:val="22"/>
        </w:rPr>
      </w:pPr>
    </w:p>
    <w:p w14:paraId="085A1D6A" w14:textId="77777777" w:rsidR="00F4308D" w:rsidRDefault="00F4308D" w:rsidP="0065296C">
      <w:pPr>
        <w:pStyle w:val="Heading2"/>
        <w:numPr>
          <w:ilvl w:val="0"/>
          <w:numId w:val="0"/>
        </w:numPr>
        <w:spacing w:before="60" w:after="120" w:line="240" w:lineRule="auto"/>
        <w:rPr>
          <w:rFonts w:ascii="Arial" w:hAnsi="Arial" w:cs="Arial"/>
          <w:sz w:val="22"/>
        </w:rPr>
      </w:pPr>
    </w:p>
    <w:p w14:paraId="47887D0B" w14:textId="77777777" w:rsidR="00F4308D" w:rsidRDefault="00F4308D" w:rsidP="0065296C">
      <w:pPr>
        <w:pStyle w:val="Heading2"/>
        <w:numPr>
          <w:ilvl w:val="0"/>
          <w:numId w:val="0"/>
        </w:numPr>
        <w:spacing w:before="60" w:after="120" w:line="240" w:lineRule="auto"/>
        <w:rPr>
          <w:rFonts w:ascii="Arial" w:hAnsi="Arial" w:cs="Arial"/>
          <w:sz w:val="22"/>
        </w:rPr>
      </w:pPr>
    </w:p>
    <w:p w14:paraId="5A31E72F" w14:textId="77777777" w:rsidR="00F4308D" w:rsidRDefault="00F4308D" w:rsidP="0065296C">
      <w:pPr>
        <w:pStyle w:val="Heading2"/>
        <w:numPr>
          <w:ilvl w:val="0"/>
          <w:numId w:val="0"/>
        </w:numPr>
        <w:spacing w:before="60" w:after="120" w:line="240" w:lineRule="auto"/>
        <w:rPr>
          <w:rFonts w:ascii="Arial" w:hAnsi="Arial" w:cs="Arial"/>
          <w:sz w:val="22"/>
        </w:rPr>
      </w:pPr>
    </w:p>
    <w:p w14:paraId="477EEE42" w14:textId="77777777" w:rsidR="00F4308D" w:rsidRPr="0065296C" w:rsidRDefault="00F4308D" w:rsidP="0065296C">
      <w:pPr>
        <w:pStyle w:val="Heading2"/>
        <w:numPr>
          <w:ilvl w:val="0"/>
          <w:numId w:val="0"/>
        </w:numPr>
        <w:spacing w:before="60" w:after="120" w:line="240" w:lineRule="auto"/>
        <w:rPr>
          <w:rFonts w:ascii="Arial" w:hAnsi="Arial" w:cs="Arial"/>
          <w:sz w:val="22"/>
        </w:rPr>
      </w:pPr>
    </w:p>
    <w:p w14:paraId="6ED17EEA" w14:textId="7FB2EE2E" w:rsidR="003E7604" w:rsidRPr="0065296C" w:rsidRDefault="00E438D0" w:rsidP="005731AA">
      <w:pPr>
        <w:spacing w:after="120"/>
        <w:rPr>
          <w:rFonts w:ascii="Arial" w:hAnsi="Arial" w:cs="Arial"/>
          <w:bCs/>
          <w:i/>
          <w:sz w:val="22"/>
        </w:rPr>
      </w:pPr>
      <w:r>
        <w:rPr>
          <w:rFonts w:ascii="Arial" w:hAnsi="Arial" w:cs="Arial"/>
          <w:bCs/>
          <w:i/>
          <w:sz w:val="22"/>
        </w:rPr>
        <w:lastRenderedPageBreak/>
        <w:t>The Balanced Growth – Annuity Lifestyle (Default)</w:t>
      </w:r>
    </w:p>
    <w:tbl>
      <w:tblPr>
        <w:tblW w:w="9880" w:type="dxa"/>
        <w:tblInd w:w="-10" w:type="dxa"/>
        <w:tblLayout w:type="fixed"/>
        <w:tblLook w:val="04A0" w:firstRow="1" w:lastRow="0" w:firstColumn="1" w:lastColumn="0" w:noHBand="0" w:noVBand="1"/>
      </w:tblPr>
      <w:tblGrid>
        <w:gridCol w:w="1277"/>
        <w:gridCol w:w="833"/>
        <w:gridCol w:w="777"/>
        <w:gridCol w:w="777"/>
        <w:gridCol w:w="777"/>
        <w:gridCol w:w="777"/>
        <w:gridCol w:w="777"/>
        <w:gridCol w:w="777"/>
        <w:gridCol w:w="777"/>
        <w:gridCol w:w="777"/>
        <w:gridCol w:w="777"/>
        <w:gridCol w:w="777"/>
      </w:tblGrid>
      <w:tr w:rsidR="007201E1" w:rsidRPr="007201E1" w14:paraId="337305DF" w14:textId="68DDDAB8" w:rsidTr="0065296C">
        <w:trPr>
          <w:trHeight w:val="765"/>
        </w:trPr>
        <w:tc>
          <w:tcPr>
            <w:tcW w:w="1277" w:type="dxa"/>
            <w:tcBorders>
              <w:top w:val="single" w:sz="8" w:space="0" w:color="auto"/>
              <w:left w:val="single" w:sz="8" w:space="0" w:color="auto"/>
              <w:bottom w:val="single" w:sz="8" w:space="0" w:color="auto"/>
              <w:right w:val="single" w:sz="8" w:space="0" w:color="auto"/>
            </w:tcBorders>
            <w:shd w:val="clear" w:color="auto" w:fill="8064A2" w:themeFill="accent4"/>
            <w:vAlign w:val="center"/>
            <w:hideMark/>
          </w:tcPr>
          <w:p w14:paraId="2D8055DB" w14:textId="688E860F" w:rsidR="003E0CA0" w:rsidRPr="0065296C" w:rsidRDefault="003E0CA0" w:rsidP="0065296C">
            <w:pPr>
              <w:suppressLineNumbers w:val="0"/>
              <w:tabs>
                <w:tab w:val="clear" w:pos="907"/>
                <w:tab w:val="clear" w:pos="9185"/>
              </w:tabs>
              <w:suppressAutoHyphens w:val="0"/>
              <w:spacing w:line="240" w:lineRule="auto"/>
              <w:jc w:val="center"/>
              <w:rPr>
                <w:rFonts w:ascii="Arial" w:hAnsi="Arial" w:cs="Arial"/>
                <w:b/>
                <w:bCs/>
                <w:color w:val="FFFFFF"/>
                <w:sz w:val="18"/>
                <w:szCs w:val="21"/>
              </w:rPr>
            </w:pPr>
            <w:r w:rsidRPr="0065296C">
              <w:rPr>
                <w:rFonts w:ascii="Arial" w:hAnsi="Arial" w:cs="Arial"/>
                <w:b/>
                <w:bCs/>
                <w:color w:val="FFFFFF" w:themeColor="background1"/>
                <w:sz w:val="18"/>
                <w:szCs w:val="21"/>
              </w:rPr>
              <w:t>Fund /</w:t>
            </w:r>
            <w:r w:rsidR="007201E1" w:rsidRPr="0065296C">
              <w:rPr>
                <w:rFonts w:ascii="Arial" w:hAnsi="Arial" w:cs="Arial"/>
                <w:b/>
                <w:bCs/>
                <w:color w:val="FFFFFF" w:themeColor="background1"/>
                <w:sz w:val="18"/>
                <w:szCs w:val="21"/>
              </w:rPr>
              <w:t xml:space="preserve"> </w:t>
            </w:r>
            <w:proofErr w:type="spellStart"/>
            <w:r w:rsidR="007201E1" w:rsidRPr="0065296C">
              <w:rPr>
                <w:rFonts w:ascii="Arial" w:hAnsi="Arial" w:cs="Arial"/>
                <w:b/>
                <w:bCs/>
                <w:color w:val="FFFFFF" w:themeColor="background1"/>
                <w:sz w:val="18"/>
                <w:szCs w:val="21"/>
              </w:rPr>
              <w:t>Y</w:t>
            </w:r>
            <w:r w:rsidRPr="0065296C">
              <w:rPr>
                <w:rFonts w:ascii="Arial" w:hAnsi="Arial" w:cs="Arial"/>
                <w:b/>
                <w:bCs/>
                <w:color w:val="FFFFFF" w:themeColor="background1"/>
                <w:sz w:val="18"/>
                <w:szCs w:val="21"/>
              </w:rPr>
              <w:t>rs</w:t>
            </w:r>
            <w:proofErr w:type="spellEnd"/>
            <w:r w:rsidRPr="0065296C">
              <w:rPr>
                <w:rFonts w:ascii="Arial" w:hAnsi="Arial" w:cs="Arial"/>
                <w:b/>
                <w:bCs/>
                <w:color w:val="FFFFFF" w:themeColor="background1"/>
                <w:sz w:val="18"/>
                <w:szCs w:val="21"/>
              </w:rPr>
              <w:t xml:space="preserve"> to Retirement</w:t>
            </w:r>
          </w:p>
        </w:tc>
        <w:tc>
          <w:tcPr>
            <w:tcW w:w="833" w:type="dxa"/>
            <w:tcBorders>
              <w:top w:val="single" w:sz="8" w:space="0" w:color="auto"/>
              <w:left w:val="nil"/>
              <w:bottom w:val="single" w:sz="8" w:space="0" w:color="auto"/>
              <w:right w:val="single" w:sz="8" w:space="0" w:color="auto"/>
            </w:tcBorders>
            <w:shd w:val="clear" w:color="auto" w:fill="8064A2" w:themeFill="accent4"/>
            <w:vAlign w:val="center"/>
            <w:hideMark/>
          </w:tcPr>
          <w:p w14:paraId="2F6A735F" w14:textId="3EB05532" w:rsidR="003E0CA0" w:rsidRPr="0065296C" w:rsidRDefault="003E0CA0">
            <w:pPr>
              <w:suppressLineNumbers w:val="0"/>
              <w:tabs>
                <w:tab w:val="clear" w:pos="907"/>
                <w:tab w:val="clear" w:pos="9185"/>
              </w:tabs>
              <w:suppressAutoHyphens w:val="0"/>
              <w:spacing w:line="240" w:lineRule="auto"/>
              <w:jc w:val="center"/>
              <w:rPr>
                <w:rFonts w:ascii="Arial" w:hAnsi="Arial" w:cs="Arial"/>
                <w:b/>
                <w:bCs/>
                <w:color w:val="FFFFFF"/>
                <w:sz w:val="18"/>
                <w:szCs w:val="21"/>
              </w:rPr>
            </w:pPr>
            <w:r w:rsidRPr="0065296C">
              <w:rPr>
                <w:rFonts w:ascii="Arial" w:hAnsi="Arial" w:cs="Arial"/>
                <w:b/>
                <w:bCs/>
                <w:color w:val="FFFFFF" w:themeColor="background1"/>
                <w:sz w:val="18"/>
                <w:szCs w:val="21"/>
              </w:rPr>
              <w:t>1</w:t>
            </w:r>
            <w:r w:rsidR="007201E1" w:rsidRPr="0065296C">
              <w:rPr>
                <w:rFonts w:ascii="Arial" w:hAnsi="Arial" w:cs="Arial"/>
                <w:b/>
                <w:bCs/>
                <w:color w:val="FFFFFF" w:themeColor="background1"/>
                <w:sz w:val="18"/>
                <w:szCs w:val="21"/>
              </w:rPr>
              <w:t>0 or more</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hideMark/>
          </w:tcPr>
          <w:p w14:paraId="21D8E1EC" w14:textId="13277A94" w:rsidR="003E0CA0" w:rsidRPr="0065296C" w:rsidRDefault="003E0CA0">
            <w:pPr>
              <w:suppressLineNumbers w:val="0"/>
              <w:tabs>
                <w:tab w:val="clear" w:pos="907"/>
                <w:tab w:val="clear" w:pos="9185"/>
              </w:tabs>
              <w:suppressAutoHyphens w:val="0"/>
              <w:spacing w:line="240" w:lineRule="auto"/>
              <w:jc w:val="center"/>
              <w:rPr>
                <w:rFonts w:ascii="Arial" w:hAnsi="Arial" w:cs="Arial"/>
                <w:b/>
                <w:bCs/>
                <w:color w:val="FFFFFF"/>
                <w:sz w:val="18"/>
                <w:szCs w:val="21"/>
              </w:rPr>
            </w:pPr>
            <w:r w:rsidRPr="0065296C">
              <w:rPr>
                <w:rFonts w:ascii="Arial" w:hAnsi="Arial" w:cs="Arial"/>
                <w:b/>
                <w:bCs/>
                <w:color w:val="FFFFFF" w:themeColor="background1"/>
                <w:sz w:val="18"/>
                <w:szCs w:val="21"/>
              </w:rPr>
              <w:t>9</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hideMark/>
          </w:tcPr>
          <w:p w14:paraId="185FEF7B" w14:textId="58C5A85E" w:rsidR="003E0CA0" w:rsidRPr="0065296C" w:rsidRDefault="003E0CA0">
            <w:pPr>
              <w:suppressLineNumbers w:val="0"/>
              <w:tabs>
                <w:tab w:val="clear" w:pos="907"/>
                <w:tab w:val="clear" w:pos="9185"/>
              </w:tabs>
              <w:suppressAutoHyphens w:val="0"/>
              <w:spacing w:line="240" w:lineRule="auto"/>
              <w:jc w:val="center"/>
              <w:rPr>
                <w:rFonts w:ascii="Arial" w:hAnsi="Arial" w:cs="Arial"/>
                <w:b/>
                <w:bCs/>
                <w:color w:val="FFFFFF"/>
                <w:sz w:val="18"/>
                <w:szCs w:val="21"/>
              </w:rPr>
            </w:pPr>
            <w:r w:rsidRPr="0065296C">
              <w:rPr>
                <w:rFonts w:ascii="Arial" w:hAnsi="Arial" w:cs="Arial"/>
                <w:b/>
                <w:bCs/>
                <w:color w:val="FFFFFF" w:themeColor="background1"/>
                <w:sz w:val="18"/>
                <w:szCs w:val="21"/>
              </w:rPr>
              <w:t>8</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23DDE372" w14:textId="0D2616E5" w:rsidR="003E0CA0" w:rsidRPr="0065296C" w:rsidRDefault="003E0CA0">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5296C">
              <w:rPr>
                <w:rFonts w:ascii="Arial" w:hAnsi="Arial" w:cs="Arial"/>
                <w:b/>
                <w:bCs/>
                <w:color w:val="FFFFFF" w:themeColor="background1"/>
                <w:sz w:val="18"/>
                <w:szCs w:val="21"/>
              </w:rPr>
              <w:t>7</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64FB71BA" w14:textId="0948FD0D" w:rsidR="003E0CA0" w:rsidRPr="0065296C" w:rsidRDefault="003E0CA0">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5296C">
              <w:rPr>
                <w:rFonts w:ascii="Arial" w:hAnsi="Arial" w:cs="Arial"/>
                <w:b/>
                <w:bCs/>
                <w:color w:val="FFFFFF" w:themeColor="background1"/>
                <w:sz w:val="18"/>
                <w:szCs w:val="21"/>
              </w:rPr>
              <w:t>6</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173AF0A1" w14:textId="4E4561BB" w:rsidR="003E0CA0" w:rsidRPr="0065296C" w:rsidRDefault="003E0CA0">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5296C">
              <w:rPr>
                <w:rFonts w:ascii="Arial" w:hAnsi="Arial" w:cs="Arial"/>
                <w:b/>
                <w:bCs/>
                <w:color w:val="FFFFFF" w:themeColor="background1"/>
                <w:sz w:val="18"/>
                <w:szCs w:val="21"/>
              </w:rPr>
              <w:t>5</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2CB25D32" w14:textId="56C330A1" w:rsidR="003E0CA0" w:rsidRPr="0065296C" w:rsidRDefault="003E0CA0">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5296C">
              <w:rPr>
                <w:rFonts w:ascii="Arial" w:hAnsi="Arial" w:cs="Arial"/>
                <w:b/>
                <w:bCs/>
                <w:color w:val="FFFFFF" w:themeColor="background1"/>
                <w:sz w:val="18"/>
                <w:szCs w:val="21"/>
              </w:rPr>
              <w:t>4</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28F2381D" w14:textId="192D6755" w:rsidR="003E0CA0" w:rsidRPr="0065296C" w:rsidRDefault="003E0CA0">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5296C">
              <w:rPr>
                <w:rFonts w:ascii="Arial" w:hAnsi="Arial" w:cs="Arial"/>
                <w:b/>
                <w:bCs/>
                <w:color w:val="FFFFFF" w:themeColor="background1"/>
                <w:sz w:val="18"/>
                <w:szCs w:val="21"/>
              </w:rPr>
              <w:t>3</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44135993" w14:textId="7DE1EF5B" w:rsidR="003E0CA0" w:rsidRPr="0065296C" w:rsidRDefault="003E0CA0">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5296C">
              <w:rPr>
                <w:rFonts w:ascii="Arial" w:hAnsi="Arial" w:cs="Arial"/>
                <w:b/>
                <w:bCs/>
                <w:color w:val="FFFFFF" w:themeColor="background1"/>
                <w:sz w:val="18"/>
                <w:szCs w:val="21"/>
              </w:rPr>
              <w:t>2</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58A7A4BD" w14:textId="367C7075" w:rsidR="003E0CA0" w:rsidRPr="0065296C" w:rsidRDefault="003E0CA0">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5296C">
              <w:rPr>
                <w:rFonts w:ascii="Arial" w:hAnsi="Arial" w:cs="Arial"/>
                <w:b/>
                <w:bCs/>
                <w:color w:val="FFFFFF" w:themeColor="background1"/>
                <w:sz w:val="18"/>
                <w:szCs w:val="21"/>
              </w:rPr>
              <w:t>1</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221CBB15" w14:textId="5EF302C2" w:rsidR="003E0CA0" w:rsidRPr="0065296C" w:rsidRDefault="003E0CA0">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5296C">
              <w:rPr>
                <w:rFonts w:ascii="Arial" w:hAnsi="Arial" w:cs="Arial"/>
                <w:b/>
                <w:bCs/>
                <w:color w:val="FFFFFF" w:themeColor="background1"/>
                <w:sz w:val="18"/>
                <w:szCs w:val="21"/>
              </w:rPr>
              <w:t>0</w:t>
            </w:r>
          </w:p>
        </w:tc>
      </w:tr>
      <w:tr w:rsidR="007201E1" w:rsidRPr="007201E1" w14:paraId="06C5501B" w14:textId="4341E03B" w:rsidTr="0065296C">
        <w:trPr>
          <w:trHeight w:val="513"/>
        </w:trPr>
        <w:tc>
          <w:tcPr>
            <w:tcW w:w="1277" w:type="dxa"/>
            <w:tcBorders>
              <w:top w:val="nil"/>
              <w:left w:val="single" w:sz="8" w:space="0" w:color="auto"/>
              <w:bottom w:val="single" w:sz="8" w:space="0" w:color="auto"/>
              <w:right w:val="single" w:sz="8" w:space="0" w:color="auto"/>
            </w:tcBorders>
            <w:shd w:val="clear" w:color="auto" w:fill="auto"/>
            <w:noWrap/>
            <w:vAlign w:val="center"/>
          </w:tcPr>
          <w:p w14:paraId="5EB4FABA" w14:textId="0159A044" w:rsidR="003E0CA0" w:rsidRPr="0065296C" w:rsidRDefault="00012776" w:rsidP="0065296C">
            <w:pPr>
              <w:suppressLineNumbers w:val="0"/>
              <w:tabs>
                <w:tab w:val="clear" w:pos="907"/>
                <w:tab w:val="clear" w:pos="9185"/>
              </w:tabs>
              <w:suppressAutoHyphens w:val="0"/>
              <w:spacing w:line="240" w:lineRule="auto"/>
              <w:jc w:val="center"/>
              <w:rPr>
                <w:rFonts w:ascii="Arial" w:hAnsi="Arial" w:cs="Arial"/>
                <w:color w:val="000000"/>
                <w:sz w:val="18"/>
                <w:szCs w:val="21"/>
              </w:rPr>
            </w:pPr>
            <w:r w:rsidRPr="0065296C">
              <w:rPr>
                <w:rFonts w:ascii="Arial" w:hAnsi="Arial" w:cs="Arial"/>
                <w:color w:val="000000"/>
                <w:sz w:val="18"/>
                <w:szCs w:val="21"/>
              </w:rPr>
              <w:t>Balanced Growth Fund</w:t>
            </w:r>
          </w:p>
        </w:tc>
        <w:tc>
          <w:tcPr>
            <w:tcW w:w="833" w:type="dxa"/>
            <w:tcBorders>
              <w:top w:val="nil"/>
              <w:left w:val="nil"/>
              <w:bottom w:val="single" w:sz="8" w:space="0" w:color="auto"/>
              <w:right w:val="single" w:sz="8" w:space="0" w:color="auto"/>
            </w:tcBorders>
            <w:shd w:val="clear" w:color="auto" w:fill="auto"/>
            <w:noWrap/>
            <w:vAlign w:val="center"/>
          </w:tcPr>
          <w:p w14:paraId="60038CAE" w14:textId="752D86D4" w:rsidR="003E0CA0" w:rsidRPr="0065296C" w:rsidRDefault="00012776">
            <w:pPr>
              <w:suppressLineNumbers w:val="0"/>
              <w:tabs>
                <w:tab w:val="clear" w:pos="907"/>
                <w:tab w:val="clear" w:pos="9185"/>
              </w:tabs>
              <w:suppressAutoHyphens w:val="0"/>
              <w:spacing w:line="240" w:lineRule="auto"/>
              <w:jc w:val="center"/>
              <w:rPr>
                <w:rFonts w:ascii="Arial" w:hAnsi="Arial" w:cs="Arial"/>
                <w:color w:val="000000"/>
                <w:sz w:val="18"/>
                <w:szCs w:val="21"/>
              </w:rPr>
            </w:pPr>
            <w:r w:rsidRPr="0065296C">
              <w:rPr>
                <w:rFonts w:ascii="Arial" w:hAnsi="Arial" w:cs="Arial"/>
                <w:color w:val="000000"/>
                <w:sz w:val="18"/>
                <w:szCs w:val="21"/>
              </w:rPr>
              <w:t>100%</w:t>
            </w:r>
          </w:p>
        </w:tc>
        <w:tc>
          <w:tcPr>
            <w:tcW w:w="777" w:type="dxa"/>
            <w:tcBorders>
              <w:top w:val="nil"/>
              <w:left w:val="nil"/>
              <w:bottom w:val="single" w:sz="8" w:space="0" w:color="auto"/>
              <w:right w:val="single" w:sz="8" w:space="0" w:color="auto"/>
            </w:tcBorders>
            <w:shd w:val="clear" w:color="auto" w:fill="auto"/>
            <w:vAlign w:val="center"/>
          </w:tcPr>
          <w:p w14:paraId="0338EA9F" w14:textId="7D6D2BAF" w:rsidR="003E0CA0" w:rsidRPr="0065296C" w:rsidRDefault="00012776" w:rsidP="0065296C">
            <w:pPr>
              <w:spacing w:line="240" w:lineRule="auto"/>
              <w:jc w:val="center"/>
              <w:rPr>
                <w:rFonts w:ascii="Arial" w:hAnsi="Arial" w:cs="Arial"/>
                <w:sz w:val="18"/>
                <w:szCs w:val="21"/>
              </w:rPr>
            </w:pPr>
            <w:r w:rsidRPr="0065296C">
              <w:rPr>
                <w:rFonts w:ascii="Arial" w:hAnsi="Arial" w:cs="Arial"/>
                <w:sz w:val="18"/>
                <w:szCs w:val="21"/>
              </w:rPr>
              <w:t>95%</w:t>
            </w:r>
          </w:p>
        </w:tc>
        <w:tc>
          <w:tcPr>
            <w:tcW w:w="777" w:type="dxa"/>
            <w:tcBorders>
              <w:top w:val="nil"/>
              <w:left w:val="nil"/>
              <w:bottom w:val="single" w:sz="8" w:space="0" w:color="auto"/>
              <w:right w:val="single" w:sz="8" w:space="0" w:color="auto"/>
            </w:tcBorders>
            <w:shd w:val="clear" w:color="auto" w:fill="auto"/>
            <w:vAlign w:val="center"/>
          </w:tcPr>
          <w:p w14:paraId="398D8F75" w14:textId="6E9A620F" w:rsidR="003E0CA0" w:rsidRPr="0065296C" w:rsidRDefault="00012776" w:rsidP="0065296C">
            <w:pPr>
              <w:suppressLineNumbers w:val="0"/>
              <w:tabs>
                <w:tab w:val="clear" w:pos="907"/>
                <w:tab w:val="clear" w:pos="9185"/>
              </w:tabs>
              <w:suppressAutoHyphens w:val="0"/>
              <w:spacing w:line="240" w:lineRule="auto"/>
              <w:jc w:val="center"/>
              <w:rPr>
                <w:rFonts w:ascii="Arial" w:hAnsi="Arial" w:cs="Arial"/>
                <w:color w:val="000000"/>
                <w:sz w:val="18"/>
                <w:szCs w:val="21"/>
              </w:rPr>
            </w:pPr>
            <w:r w:rsidRPr="0065296C">
              <w:rPr>
                <w:rFonts w:ascii="Arial" w:hAnsi="Arial" w:cs="Arial"/>
                <w:color w:val="000000"/>
                <w:sz w:val="18"/>
                <w:szCs w:val="21"/>
              </w:rPr>
              <w:t>90%</w:t>
            </w:r>
          </w:p>
        </w:tc>
        <w:tc>
          <w:tcPr>
            <w:tcW w:w="777" w:type="dxa"/>
            <w:tcBorders>
              <w:top w:val="nil"/>
              <w:left w:val="nil"/>
              <w:bottom w:val="single" w:sz="8" w:space="0" w:color="auto"/>
              <w:right w:val="single" w:sz="8" w:space="0" w:color="auto"/>
            </w:tcBorders>
            <w:vAlign w:val="center"/>
          </w:tcPr>
          <w:p w14:paraId="3C8F452D" w14:textId="33B0BAC8" w:rsidR="003E0CA0" w:rsidRPr="0065296C" w:rsidRDefault="00012776" w:rsidP="0065296C">
            <w:pPr>
              <w:suppressLineNumbers w:val="0"/>
              <w:tabs>
                <w:tab w:val="clear" w:pos="907"/>
                <w:tab w:val="clear" w:pos="9185"/>
              </w:tabs>
              <w:suppressAutoHyphens w:val="0"/>
              <w:spacing w:line="240" w:lineRule="auto"/>
              <w:jc w:val="center"/>
              <w:rPr>
                <w:rFonts w:ascii="Arial" w:hAnsi="Arial" w:cs="Arial"/>
                <w:sz w:val="18"/>
                <w:szCs w:val="21"/>
              </w:rPr>
            </w:pPr>
            <w:r w:rsidRPr="0065296C">
              <w:rPr>
                <w:rFonts w:ascii="Arial" w:hAnsi="Arial" w:cs="Arial"/>
                <w:sz w:val="18"/>
                <w:szCs w:val="21"/>
              </w:rPr>
              <w:t>85%</w:t>
            </w:r>
          </w:p>
        </w:tc>
        <w:tc>
          <w:tcPr>
            <w:tcW w:w="777" w:type="dxa"/>
            <w:tcBorders>
              <w:top w:val="nil"/>
              <w:left w:val="nil"/>
              <w:bottom w:val="single" w:sz="8" w:space="0" w:color="auto"/>
              <w:right w:val="single" w:sz="8" w:space="0" w:color="auto"/>
            </w:tcBorders>
            <w:vAlign w:val="center"/>
          </w:tcPr>
          <w:p w14:paraId="446F1FAE" w14:textId="1DFA62B3" w:rsidR="003E0CA0" w:rsidRPr="0065296C" w:rsidRDefault="00012776" w:rsidP="0065296C">
            <w:pPr>
              <w:suppressLineNumbers w:val="0"/>
              <w:tabs>
                <w:tab w:val="clear" w:pos="907"/>
                <w:tab w:val="clear" w:pos="9185"/>
              </w:tabs>
              <w:suppressAutoHyphens w:val="0"/>
              <w:spacing w:line="240" w:lineRule="auto"/>
              <w:jc w:val="center"/>
              <w:rPr>
                <w:rFonts w:ascii="Arial" w:hAnsi="Arial" w:cs="Arial"/>
                <w:sz w:val="18"/>
                <w:szCs w:val="21"/>
              </w:rPr>
            </w:pPr>
            <w:r w:rsidRPr="0065296C">
              <w:rPr>
                <w:rFonts w:ascii="Arial" w:hAnsi="Arial" w:cs="Arial"/>
                <w:sz w:val="18"/>
                <w:szCs w:val="21"/>
              </w:rPr>
              <w:t>80%</w:t>
            </w:r>
          </w:p>
        </w:tc>
        <w:tc>
          <w:tcPr>
            <w:tcW w:w="777" w:type="dxa"/>
            <w:tcBorders>
              <w:top w:val="nil"/>
              <w:left w:val="nil"/>
              <w:bottom w:val="single" w:sz="8" w:space="0" w:color="auto"/>
              <w:right w:val="single" w:sz="8" w:space="0" w:color="auto"/>
            </w:tcBorders>
            <w:vAlign w:val="center"/>
          </w:tcPr>
          <w:p w14:paraId="40270338" w14:textId="29A930EA" w:rsidR="003E0CA0" w:rsidRPr="0065296C" w:rsidRDefault="00012776" w:rsidP="0065296C">
            <w:pPr>
              <w:suppressLineNumbers w:val="0"/>
              <w:tabs>
                <w:tab w:val="clear" w:pos="907"/>
                <w:tab w:val="clear" w:pos="9185"/>
              </w:tabs>
              <w:suppressAutoHyphens w:val="0"/>
              <w:spacing w:line="240" w:lineRule="auto"/>
              <w:jc w:val="center"/>
              <w:rPr>
                <w:rFonts w:ascii="Arial" w:hAnsi="Arial" w:cs="Arial"/>
                <w:sz w:val="18"/>
                <w:szCs w:val="21"/>
              </w:rPr>
            </w:pPr>
            <w:r w:rsidRPr="0065296C">
              <w:rPr>
                <w:rFonts w:ascii="Arial" w:hAnsi="Arial" w:cs="Arial"/>
                <w:sz w:val="18"/>
                <w:szCs w:val="21"/>
              </w:rPr>
              <w:t>75%</w:t>
            </w:r>
          </w:p>
        </w:tc>
        <w:tc>
          <w:tcPr>
            <w:tcW w:w="777" w:type="dxa"/>
            <w:tcBorders>
              <w:top w:val="nil"/>
              <w:left w:val="nil"/>
              <w:bottom w:val="single" w:sz="8" w:space="0" w:color="auto"/>
              <w:right w:val="single" w:sz="8" w:space="0" w:color="auto"/>
            </w:tcBorders>
            <w:vAlign w:val="center"/>
          </w:tcPr>
          <w:p w14:paraId="1FB95A99" w14:textId="5AC64A36" w:rsidR="003E0CA0" w:rsidRPr="0065296C" w:rsidRDefault="00012776" w:rsidP="0065296C">
            <w:pPr>
              <w:suppressLineNumbers w:val="0"/>
              <w:tabs>
                <w:tab w:val="clear" w:pos="907"/>
                <w:tab w:val="clear" w:pos="9185"/>
              </w:tabs>
              <w:suppressAutoHyphens w:val="0"/>
              <w:spacing w:line="240" w:lineRule="auto"/>
              <w:jc w:val="center"/>
              <w:rPr>
                <w:rFonts w:ascii="Arial" w:hAnsi="Arial" w:cs="Arial"/>
                <w:sz w:val="18"/>
                <w:szCs w:val="21"/>
              </w:rPr>
            </w:pPr>
            <w:r w:rsidRPr="0065296C">
              <w:rPr>
                <w:rFonts w:ascii="Arial" w:hAnsi="Arial" w:cs="Arial"/>
                <w:sz w:val="18"/>
                <w:szCs w:val="21"/>
              </w:rPr>
              <w:t>60%</w:t>
            </w:r>
          </w:p>
        </w:tc>
        <w:tc>
          <w:tcPr>
            <w:tcW w:w="777" w:type="dxa"/>
            <w:tcBorders>
              <w:top w:val="nil"/>
              <w:left w:val="nil"/>
              <w:bottom w:val="single" w:sz="8" w:space="0" w:color="auto"/>
              <w:right w:val="single" w:sz="8" w:space="0" w:color="auto"/>
            </w:tcBorders>
            <w:vAlign w:val="center"/>
          </w:tcPr>
          <w:p w14:paraId="3DB9E8A7" w14:textId="0419E538" w:rsidR="003E0CA0" w:rsidRPr="0065296C" w:rsidRDefault="00012776" w:rsidP="0065296C">
            <w:pPr>
              <w:suppressLineNumbers w:val="0"/>
              <w:tabs>
                <w:tab w:val="clear" w:pos="907"/>
                <w:tab w:val="clear" w:pos="9185"/>
              </w:tabs>
              <w:suppressAutoHyphens w:val="0"/>
              <w:spacing w:line="240" w:lineRule="auto"/>
              <w:jc w:val="center"/>
              <w:rPr>
                <w:rFonts w:ascii="Arial" w:hAnsi="Arial" w:cs="Arial"/>
                <w:sz w:val="18"/>
                <w:szCs w:val="21"/>
              </w:rPr>
            </w:pPr>
            <w:r w:rsidRPr="0065296C">
              <w:rPr>
                <w:rFonts w:ascii="Arial" w:hAnsi="Arial" w:cs="Arial"/>
                <w:sz w:val="18"/>
                <w:szCs w:val="21"/>
              </w:rPr>
              <w:t>45%</w:t>
            </w:r>
          </w:p>
        </w:tc>
        <w:tc>
          <w:tcPr>
            <w:tcW w:w="777" w:type="dxa"/>
            <w:tcBorders>
              <w:top w:val="nil"/>
              <w:left w:val="nil"/>
              <w:bottom w:val="single" w:sz="8" w:space="0" w:color="auto"/>
              <w:right w:val="single" w:sz="8" w:space="0" w:color="auto"/>
            </w:tcBorders>
            <w:vAlign w:val="center"/>
          </w:tcPr>
          <w:p w14:paraId="45A38A7E" w14:textId="707B4286" w:rsidR="003E0CA0" w:rsidRPr="0065296C" w:rsidRDefault="00012776" w:rsidP="0065296C">
            <w:pPr>
              <w:suppressLineNumbers w:val="0"/>
              <w:tabs>
                <w:tab w:val="clear" w:pos="907"/>
                <w:tab w:val="clear" w:pos="9185"/>
              </w:tabs>
              <w:suppressAutoHyphens w:val="0"/>
              <w:spacing w:line="240" w:lineRule="auto"/>
              <w:jc w:val="center"/>
              <w:rPr>
                <w:rFonts w:ascii="Arial" w:hAnsi="Arial" w:cs="Arial"/>
                <w:sz w:val="18"/>
                <w:szCs w:val="21"/>
              </w:rPr>
            </w:pPr>
            <w:r w:rsidRPr="0065296C">
              <w:rPr>
                <w:rFonts w:ascii="Arial" w:hAnsi="Arial" w:cs="Arial"/>
                <w:sz w:val="18"/>
                <w:szCs w:val="21"/>
              </w:rPr>
              <w:t>30£</w:t>
            </w:r>
          </w:p>
        </w:tc>
        <w:tc>
          <w:tcPr>
            <w:tcW w:w="777" w:type="dxa"/>
            <w:tcBorders>
              <w:top w:val="nil"/>
              <w:left w:val="nil"/>
              <w:bottom w:val="single" w:sz="8" w:space="0" w:color="auto"/>
              <w:right w:val="single" w:sz="8" w:space="0" w:color="auto"/>
            </w:tcBorders>
            <w:vAlign w:val="center"/>
          </w:tcPr>
          <w:p w14:paraId="55C8CCB3" w14:textId="43B3FCD3" w:rsidR="003E0CA0" w:rsidRPr="0065296C" w:rsidRDefault="00012776" w:rsidP="0065296C">
            <w:pPr>
              <w:suppressLineNumbers w:val="0"/>
              <w:tabs>
                <w:tab w:val="clear" w:pos="907"/>
                <w:tab w:val="clear" w:pos="9185"/>
              </w:tabs>
              <w:suppressAutoHyphens w:val="0"/>
              <w:spacing w:line="240" w:lineRule="auto"/>
              <w:jc w:val="center"/>
              <w:rPr>
                <w:rFonts w:ascii="Arial" w:hAnsi="Arial" w:cs="Arial"/>
                <w:sz w:val="18"/>
                <w:szCs w:val="21"/>
              </w:rPr>
            </w:pPr>
            <w:r w:rsidRPr="0065296C">
              <w:rPr>
                <w:rFonts w:ascii="Arial" w:hAnsi="Arial" w:cs="Arial"/>
                <w:sz w:val="18"/>
                <w:szCs w:val="21"/>
              </w:rPr>
              <w:t>15%</w:t>
            </w:r>
          </w:p>
        </w:tc>
        <w:tc>
          <w:tcPr>
            <w:tcW w:w="777" w:type="dxa"/>
            <w:tcBorders>
              <w:top w:val="nil"/>
              <w:left w:val="nil"/>
              <w:bottom w:val="single" w:sz="8" w:space="0" w:color="auto"/>
              <w:right w:val="single" w:sz="8" w:space="0" w:color="auto"/>
            </w:tcBorders>
            <w:vAlign w:val="center"/>
          </w:tcPr>
          <w:p w14:paraId="51441BD6" w14:textId="6AF70517" w:rsidR="003E0CA0" w:rsidRPr="0065296C" w:rsidRDefault="00012776" w:rsidP="0065296C">
            <w:pPr>
              <w:suppressLineNumbers w:val="0"/>
              <w:tabs>
                <w:tab w:val="clear" w:pos="907"/>
                <w:tab w:val="clear" w:pos="9185"/>
              </w:tabs>
              <w:suppressAutoHyphens w:val="0"/>
              <w:spacing w:line="240" w:lineRule="auto"/>
              <w:jc w:val="center"/>
              <w:rPr>
                <w:rFonts w:ascii="Arial" w:hAnsi="Arial" w:cs="Arial"/>
                <w:sz w:val="18"/>
                <w:szCs w:val="21"/>
              </w:rPr>
            </w:pPr>
            <w:r w:rsidRPr="0065296C">
              <w:rPr>
                <w:rFonts w:ascii="Arial" w:hAnsi="Arial" w:cs="Arial"/>
                <w:sz w:val="18"/>
                <w:szCs w:val="21"/>
              </w:rPr>
              <w:t>0%</w:t>
            </w:r>
          </w:p>
        </w:tc>
      </w:tr>
      <w:tr w:rsidR="007201E1" w:rsidRPr="007201E1" w14:paraId="0D74924F" w14:textId="3CECC9DE" w:rsidTr="0065296C">
        <w:trPr>
          <w:trHeight w:val="563"/>
        </w:trPr>
        <w:tc>
          <w:tcPr>
            <w:tcW w:w="1277" w:type="dxa"/>
            <w:tcBorders>
              <w:top w:val="nil"/>
              <w:left w:val="single" w:sz="8" w:space="0" w:color="auto"/>
              <w:bottom w:val="single" w:sz="4" w:space="0" w:color="auto"/>
              <w:right w:val="single" w:sz="8" w:space="0" w:color="auto"/>
            </w:tcBorders>
            <w:shd w:val="clear" w:color="auto" w:fill="auto"/>
            <w:noWrap/>
            <w:vAlign w:val="center"/>
          </w:tcPr>
          <w:p w14:paraId="5A9EC2B2" w14:textId="3995DA6B" w:rsidR="003E0CA0" w:rsidRPr="0065296C" w:rsidRDefault="00012776" w:rsidP="0065296C">
            <w:pPr>
              <w:tabs>
                <w:tab w:val="clear" w:pos="907"/>
                <w:tab w:val="clear" w:pos="9185"/>
                <w:tab w:val="left" w:pos="2113"/>
              </w:tabs>
              <w:jc w:val="center"/>
              <w:rPr>
                <w:rFonts w:ascii="Arial" w:hAnsi="Arial" w:cs="Arial"/>
                <w:sz w:val="18"/>
                <w:szCs w:val="21"/>
              </w:rPr>
            </w:pPr>
            <w:r w:rsidRPr="0065296C">
              <w:rPr>
                <w:rFonts w:ascii="Arial" w:hAnsi="Arial" w:cs="Arial"/>
                <w:sz w:val="18"/>
                <w:szCs w:val="21"/>
              </w:rPr>
              <w:t>L&amp;G Pre-</w:t>
            </w:r>
            <w:r w:rsidR="007201E1" w:rsidRPr="0065296C">
              <w:rPr>
                <w:rFonts w:ascii="Arial" w:hAnsi="Arial" w:cs="Arial"/>
                <w:sz w:val="18"/>
                <w:szCs w:val="21"/>
              </w:rPr>
              <w:t xml:space="preserve"> </w:t>
            </w:r>
            <w:r w:rsidRPr="0065296C">
              <w:rPr>
                <w:rFonts w:ascii="Arial" w:hAnsi="Arial" w:cs="Arial"/>
                <w:sz w:val="18"/>
                <w:szCs w:val="21"/>
              </w:rPr>
              <w:t>Retirement Fund</w:t>
            </w:r>
          </w:p>
        </w:tc>
        <w:tc>
          <w:tcPr>
            <w:tcW w:w="833" w:type="dxa"/>
            <w:tcBorders>
              <w:top w:val="nil"/>
              <w:left w:val="nil"/>
              <w:bottom w:val="single" w:sz="4" w:space="0" w:color="auto"/>
              <w:right w:val="single" w:sz="8" w:space="0" w:color="auto"/>
            </w:tcBorders>
            <w:shd w:val="clear" w:color="auto" w:fill="auto"/>
            <w:noWrap/>
            <w:vAlign w:val="center"/>
          </w:tcPr>
          <w:p w14:paraId="17A00AEC" w14:textId="07213A74" w:rsidR="003E0CA0" w:rsidRPr="0065296C" w:rsidRDefault="00012776">
            <w:pPr>
              <w:suppressLineNumbers w:val="0"/>
              <w:tabs>
                <w:tab w:val="clear" w:pos="907"/>
                <w:tab w:val="clear" w:pos="9185"/>
              </w:tabs>
              <w:suppressAutoHyphens w:val="0"/>
              <w:spacing w:line="240" w:lineRule="auto"/>
              <w:jc w:val="center"/>
              <w:rPr>
                <w:rFonts w:ascii="Arial" w:hAnsi="Arial" w:cs="Arial"/>
                <w:color w:val="000000"/>
                <w:sz w:val="18"/>
                <w:szCs w:val="21"/>
              </w:rPr>
            </w:pPr>
            <w:r w:rsidRPr="0065296C">
              <w:rPr>
                <w:rFonts w:ascii="Arial" w:hAnsi="Arial" w:cs="Arial"/>
                <w:color w:val="000000"/>
                <w:sz w:val="18"/>
                <w:szCs w:val="21"/>
              </w:rPr>
              <w:t>0%</w:t>
            </w:r>
          </w:p>
        </w:tc>
        <w:tc>
          <w:tcPr>
            <w:tcW w:w="777" w:type="dxa"/>
            <w:tcBorders>
              <w:top w:val="nil"/>
              <w:left w:val="nil"/>
              <w:bottom w:val="single" w:sz="4" w:space="0" w:color="auto"/>
              <w:right w:val="single" w:sz="8" w:space="0" w:color="auto"/>
            </w:tcBorders>
            <w:shd w:val="clear" w:color="auto" w:fill="auto"/>
            <w:vAlign w:val="center"/>
          </w:tcPr>
          <w:p w14:paraId="71CFB48E" w14:textId="20CC1D0E" w:rsidR="003E0CA0" w:rsidRPr="0065296C" w:rsidRDefault="00012776" w:rsidP="0065296C">
            <w:pPr>
              <w:tabs>
                <w:tab w:val="left" w:pos="6300"/>
              </w:tabs>
              <w:spacing w:line="240" w:lineRule="auto"/>
              <w:ind w:right="58"/>
              <w:jc w:val="center"/>
              <w:rPr>
                <w:rFonts w:ascii="Arial" w:hAnsi="Arial" w:cs="Arial"/>
                <w:sz w:val="18"/>
                <w:szCs w:val="21"/>
              </w:rPr>
            </w:pPr>
            <w:r w:rsidRPr="0065296C">
              <w:rPr>
                <w:rFonts w:ascii="Arial" w:hAnsi="Arial" w:cs="Arial"/>
                <w:sz w:val="18"/>
                <w:szCs w:val="21"/>
              </w:rPr>
              <w:t>5%</w:t>
            </w:r>
          </w:p>
        </w:tc>
        <w:tc>
          <w:tcPr>
            <w:tcW w:w="777" w:type="dxa"/>
            <w:tcBorders>
              <w:top w:val="nil"/>
              <w:left w:val="nil"/>
              <w:bottom w:val="single" w:sz="4" w:space="0" w:color="auto"/>
              <w:right w:val="single" w:sz="8" w:space="0" w:color="auto"/>
            </w:tcBorders>
            <w:shd w:val="clear" w:color="auto" w:fill="auto"/>
            <w:vAlign w:val="center"/>
          </w:tcPr>
          <w:p w14:paraId="484EADF6" w14:textId="51835C4E" w:rsidR="003E0CA0" w:rsidRPr="0065296C" w:rsidRDefault="00012776" w:rsidP="0065296C">
            <w:pPr>
              <w:suppressLineNumbers w:val="0"/>
              <w:tabs>
                <w:tab w:val="clear" w:pos="907"/>
                <w:tab w:val="clear" w:pos="9185"/>
              </w:tabs>
              <w:suppressAutoHyphens w:val="0"/>
              <w:spacing w:line="240" w:lineRule="auto"/>
              <w:jc w:val="center"/>
              <w:rPr>
                <w:rFonts w:ascii="Arial" w:hAnsi="Arial" w:cs="Arial"/>
                <w:color w:val="000000"/>
                <w:sz w:val="18"/>
                <w:szCs w:val="21"/>
              </w:rPr>
            </w:pPr>
            <w:r w:rsidRPr="0065296C">
              <w:rPr>
                <w:rFonts w:ascii="Arial" w:hAnsi="Arial" w:cs="Arial"/>
                <w:color w:val="000000"/>
                <w:sz w:val="18"/>
                <w:szCs w:val="21"/>
              </w:rPr>
              <w:t>10%</w:t>
            </w:r>
          </w:p>
        </w:tc>
        <w:tc>
          <w:tcPr>
            <w:tcW w:w="777" w:type="dxa"/>
            <w:tcBorders>
              <w:top w:val="nil"/>
              <w:left w:val="nil"/>
              <w:bottom w:val="single" w:sz="4" w:space="0" w:color="auto"/>
              <w:right w:val="single" w:sz="8" w:space="0" w:color="auto"/>
            </w:tcBorders>
            <w:vAlign w:val="center"/>
          </w:tcPr>
          <w:p w14:paraId="248CE681" w14:textId="3778FB59" w:rsidR="003E0CA0" w:rsidRPr="0065296C" w:rsidRDefault="00012776" w:rsidP="0065296C">
            <w:pPr>
              <w:suppressLineNumbers w:val="0"/>
              <w:tabs>
                <w:tab w:val="clear" w:pos="907"/>
                <w:tab w:val="clear" w:pos="9185"/>
              </w:tabs>
              <w:suppressAutoHyphens w:val="0"/>
              <w:spacing w:line="240" w:lineRule="auto"/>
              <w:jc w:val="center"/>
              <w:rPr>
                <w:rFonts w:ascii="Arial" w:hAnsi="Arial" w:cs="Arial"/>
                <w:sz w:val="18"/>
                <w:szCs w:val="21"/>
              </w:rPr>
            </w:pPr>
            <w:r w:rsidRPr="0065296C">
              <w:rPr>
                <w:rFonts w:ascii="Arial" w:hAnsi="Arial" w:cs="Arial"/>
                <w:sz w:val="18"/>
                <w:szCs w:val="21"/>
              </w:rPr>
              <w:t>15%</w:t>
            </w:r>
          </w:p>
        </w:tc>
        <w:tc>
          <w:tcPr>
            <w:tcW w:w="777" w:type="dxa"/>
            <w:tcBorders>
              <w:top w:val="nil"/>
              <w:left w:val="nil"/>
              <w:bottom w:val="single" w:sz="4" w:space="0" w:color="auto"/>
              <w:right w:val="single" w:sz="8" w:space="0" w:color="auto"/>
            </w:tcBorders>
            <w:vAlign w:val="center"/>
          </w:tcPr>
          <w:p w14:paraId="25B9D1F0" w14:textId="374F4519" w:rsidR="003E0CA0" w:rsidRPr="0065296C" w:rsidRDefault="00012776" w:rsidP="0065296C">
            <w:pPr>
              <w:suppressLineNumbers w:val="0"/>
              <w:tabs>
                <w:tab w:val="clear" w:pos="907"/>
                <w:tab w:val="clear" w:pos="9185"/>
              </w:tabs>
              <w:suppressAutoHyphens w:val="0"/>
              <w:spacing w:line="240" w:lineRule="auto"/>
              <w:jc w:val="center"/>
              <w:rPr>
                <w:rFonts w:ascii="Arial" w:hAnsi="Arial" w:cs="Arial"/>
                <w:sz w:val="18"/>
                <w:szCs w:val="21"/>
              </w:rPr>
            </w:pPr>
            <w:r w:rsidRPr="0065296C">
              <w:rPr>
                <w:rFonts w:ascii="Arial" w:hAnsi="Arial" w:cs="Arial"/>
                <w:sz w:val="18"/>
                <w:szCs w:val="21"/>
              </w:rPr>
              <w:t>20%</w:t>
            </w:r>
          </w:p>
        </w:tc>
        <w:tc>
          <w:tcPr>
            <w:tcW w:w="777" w:type="dxa"/>
            <w:tcBorders>
              <w:top w:val="nil"/>
              <w:left w:val="nil"/>
              <w:bottom w:val="single" w:sz="4" w:space="0" w:color="auto"/>
              <w:right w:val="single" w:sz="8" w:space="0" w:color="auto"/>
            </w:tcBorders>
            <w:vAlign w:val="center"/>
          </w:tcPr>
          <w:p w14:paraId="03EB85D3" w14:textId="771A99A9" w:rsidR="003E0CA0" w:rsidRPr="0065296C" w:rsidRDefault="00012776" w:rsidP="0065296C">
            <w:pPr>
              <w:suppressLineNumbers w:val="0"/>
              <w:tabs>
                <w:tab w:val="clear" w:pos="907"/>
                <w:tab w:val="clear" w:pos="9185"/>
              </w:tabs>
              <w:suppressAutoHyphens w:val="0"/>
              <w:spacing w:line="240" w:lineRule="auto"/>
              <w:jc w:val="center"/>
              <w:rPr>
                <w:rFonts w:ascii="Arial" w:hAnsi="Arial" w:cs="Arial"/>
                <w:sz w:val="18"/>
                <w:szCs w:val="21"/>
              </w:rPr>
            </w:pPr>
            <w:r w:rsidRPr="0065296C">
              <w:rPr>
                <w:rFonts w:ascii="Arial" w:hAnsi="Arial" w:cs="Arial"/>
                <w:sz w:val="18"/>
                <w:szCs w:val="21"/>
              </w:rPr>
              <w:t>25%</w:t>
            </w:r>
          </w:p>
        </w:tc>
        <w:tc>
          <w:tcPr>
            <w:tcW w:w="777" w:type="dxa"/>
            <w:tcBorders>
              <w:top w:val="nil"/>
              <w:left w:val="nil"/>
              <w:bottom w:val="single" w:sz="4" w:space="0" w:color="auto"/>
              <w:right w:val="single" w:sz="8" w:space="0" w:color="auto"/>
            </w:tcBorders>
            <w:vAlign w:val="center"/>
          </w:tcPr>
          <w:p w14:paraId="2A5E2FE7" w14:textId="5285D078" w:rsidR="003E0CA0" w:rsidRPr="0065296C" w:rsidRDefault="00012776" w:rsidP="0065296C">
            <w:pPr>
              <w:suppressLineNumbers w:val="0"/>
              <w:tabs>
                <w:tab w:val="clear" w:pos="907"/>
                <w:tab w:val="clear" w:pos="9185"/>
              </w:tabs>
              <w:suppressAutoHyphens w:val="0"/>
              <w:spacing w:line="240" w:lineRule="auto"/>
              <w:jc w:val="center"/>
              <w:rPr>
                <w:rFonts w:ascii="Arial" w:hAnsi="Arial" w:cs="Arial"/>
                <w:sz w:val="18"/>
                <w:szCs w:val="21"/>
              </w:rPr>
            </w:pPr>
            <w:r w:rsidRPr="0065296C">
              <w:rPr>
                <w:rFonts w:ascii="Arial" w:hAnsi="Arial" w:cs="Arial"/>
                <w:sz w:val="18"/>
                <w:szCs w:val="21"/>
              </w:rPr>
              <w:t>40%</w:t>
            </w:r>
          </w:p>
        </w:tc>
        <w:tc>
          <w:tcPr>
            <w:tcW w:w="777" w:type="dxa"/>
            <w:tcBorders>
              <w:top w:val="nil"/>
              <w:left w:val="nil"/>
              <w:bottom w:val="single" w:sz="4" w:space="0" w:color="auto"/>
              <w:right w:val="single" w:sz="8" w:space="0" w:color="auto"/>
            </w:tcBorders>
            <w:vAlign w:val="center"/>
          </w:tcPr>
          <w:p w14:paraId="668FD2D4" w14:textId="729B70F8" w:rsidR="003E0CA0" w:rsidRPr="0065296C" w:rsidRDefault="00012776" w:rsidP="0065296C">
            <w:pPr>
              <w:suppressLineNumbers w:val="0"/>
              <w:tabs>
                <w:tab w:val="clear" w:pos="907"/>
                <w:tab w:val="clear" w:pos="9185"/>
              </w:tabs>
              <w:suppressAutoHyphens w:val="0"/>
              <w:spacing w:line="240" w:lineRule="auto"/>
              <w:jc w:val="center"/>
              <w:rPr>
                <w:rFonts w:ascii="Arial" w:hAnsi="Arial" w:cs="Arial"/>
                <w:sz w:val="18"/>
                <w:szCs w:val="21"/>
              </w:rPr>
            </w:pPr>
            <w:r w:rsidRPr="0065296C">
              <w:rPr>
                <w:rFonts w:ascii="Arial" w:hAnsi="Arial" w:cs="Arial"/>
                <w:sz w:val="18"/>
                <w:szCs w:val="21"/>
              </w:rPr>
              <w:t>55%</w:t>
            </w:r>
          </w:p>
        </w:tc>
        <w:tc>
          <w:tcPr>
            <w:tcW w:w="777" w:type="dxa"/>
            <w:tcBorders>
              <w:top w:val="nil"/>
              <w:left w:val="nil"/>
              <w:bottom w:val="single" w:sz="4" w:space="0" w:color="auto"/>
              <w:right w:val="single" w:sz="8" w:space="0" w:color="auto"/>
            </w:tcBorders>
            <w:vAlign w:val="center"/>
          </w:tcPr>
          <w:p w14:paraId="08F94144" w14:textId="5049D114" w:rsidR="003E0CA0" w:rsidRPr="0065296C" w:rsidRDefault="00012776" w:rsidP="0065296C">
            <w:pPr>
              <w:suppressLineNumbers w:val="0"/>
              <w:tabs>
                <w:tab w:val="clear" w:pos="907"/>
                <w:tab w:val="clear" w:pos="9185"/>
              </w:tabs>
              <w:suppressAutoHyphens w:val="0"/>
              <w:spacing w:line="240" w:lineRule="auto"/>
              <w:jc w:val="center"/>
              <w:rPr>
                <w:rFonts w:ascii="Arial" w:hAnsi="Arial" w:cs="Arial"/>
                <w:sz w:val="18"/>
                <w:szCs w:val="21"/>
              </w:rPr>
            </w:pPr>
            <w:r w:rsidRPr="0065296C">
              <w:rPr>
                <w:rFonts w:ascii="Arial" w:hAnsi="Arial" w:cs="Arial"/>
                <w:sz w:val="18"/>
                <w:szCs w:val="21"/>
              </w:rPr>
              <w:t>65%</w:t>
            </w:r>
          </w:p>
        </w:tc>
        <w:tc>
          <w:tcPr>
            <w:tcW w:w="777" w:type="dxa"/>
            <w:tcBorders>
              <w:top w:val="nil"/>
              <w:left w:val="nil"/>
              <w:bottom w:val="single" w:sz="4" w:space="0" w:color="auto"/>
              <w:right w:val="single" w:sz="8" w:space="0" w:color="auto"/>
            </w:tcBorders>
            <w:vAlign w:val="center"/>
          </w:tcPr>
          <w:p w14:paraId="2ABCAECE" w14:textId="3AE6D730" w:rsidR="003E0CA0" w:rsidRPr="0065296C" w:rsidRDefault="00012776" w:rsidP="0065296C">
            <w:pPr>
              <w:suppressLineNumbers w:val="0"/>
              <w:tabs>
                <w:tab w:val="clear" w:pos="907"/>
                <w:tab w:val="clear" w:pos="9185"/>
              </w:tabs>
              <w:suppressAutoHyphens w:val="0"/>
              <w:spacing w:line="240" w:lineRule="auto"/>
              <w:jc w:val="center"/>
              <w:rPr>
                <w:rFonts w:ascii="Arial" w:hAnsi="Arial" w:cs="Arial"/>
                <w:sz w:val="18"/>
                <w:szCs w:val="21"/>
              </w:rPr>
            </w:pPr>
            <w:r w:rsidRPr="0065296C">
              <w:rPr>
                <w:rFonts w:ascii="Arial" w:hAnsi="Arial" w:cs="Arial"/>
                <w:sz w:val="18"/>
                <w:szCs w:val="21"/>
              </w:rPr>
              <w:t>70%</w:t>
            </w:r>
          </w:p>
        </w:tc>
        <w:tc>
          <w:tcPr>
            <w:tcW w:w="777" w:type="dxa"/>
            <w:tcBorders>
              <w:top w:val="nil"/>
              <w:left w:val="nil"/>
              <w:bottom w:val="single" w:sz="4" w:space="0" w:color="auto"/>
              <w:right w:val="single" w:sz="8" w:space="0" w:color="auto"/>
            </w:tcBorders>
            <w:vAlign w:val="center"/>
          </w:tcPr>
          <w:p w14:paraId="63091D6B" w14:textId="44DA2DFF" w:rsidR="003E0CA0" w:rsidRPr="0065296C" w:rsidRDefault="00012776" w:rsidP="0065296C">
            <w:pPr>
              <w:suppressLineNumbers w:val="0"/>
              <w:tabs>
                <w:tab w:val="clear" w:pos="907"/>
                <w:tab w:val="clear" w:pos="9185"/>
              </w:tabs>
              <w:suppressAutoHyphens w:val="0"/>
              <w:spacing w:line="240" w:lineRule="auto"/>
              <w:jc w:val="center"/>
              <w:rPr>
                <w:rFonts w:ascii="Arial" w:hAnsi="Arial" w:cs="Arial"/>
                <w:sz w:val="18"/>
                <w:szCs w:val="21"/>
              </w:rPr>
            </w:pPr>
            <w:r w:rsidRPr="0065296C">
              <w:rPr>
                <w:rFonts w:ascii="Arial" w:hAnsi="Arial" w:cs="Arial"/>
                <w:sz w:val="18"/>
                <w:szCs w:val="21"/>
              </w:rPr>
              <w:t>75%</w:t>
            </w:r>
          </w:p>
        </w:tc>
      </w:tr>
      <w:tr w:rsidR="007201E1" w:rsidRPr="007201E1" w14:paraId="5061B373" w14:textId="6FBA6E8E" w:rsidTr="0065296C">
        <w:trPr>
          <w:trHeight w:val="551"/>
        </w:trPr>
        <w:tc>
          <w:tcPr>
            <w:tcW w:w="127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C1D8F4E" w14:textId="01235626" w:rsidR="003E0CA0" w:rsidRPr="0065296C" w:rsidRDefault="00012776" w:rsidP="0065296C">
            <w:pPr>
              <w:suppressLineNumbers w:val="0"/>
              <w:tabs>
                <w:tab w:val="clear" w:pos="907"/>
                <w:tab w:val="clear" w:pos="9185"/>
              </w:tabs>
              <w:suppressAutoHyphens w:val="0"/>
              <w:spacing w:line="240" w:lineRule="auto"/>
              <w:jc w:val="center"/>
              <w:rPr>
                <w:rFonts w:ascii="Arial" w:hAnsi="Arial" w:cs="Arial"/>
                <w:color w:val="000000"/>
                <w:sz w:val="18"/>
                <w:szCs w:val="21"/>
              </w:rPr>
            </w:pPr>
            <w:r w:rsidRPr="0065296C">
              <w:rPr>
                <w:rFonts w:ascii="Arial" w:hAnsi="Arial" w:cs="Arial"/>
                <w:color w:val="000000"/>
                <w:sz w:val="18"/>
                <w:szCs w:val="21"/>
              </w:rPr>
              <w:t>L&amp;G Cash Fund</w:t>
            </w:r>
          </w:p>
        </w:tc>
        <w:tc>
          <w:tcPr>
            <w:tcW w:w="833" w:type="dxa"/>
            <w:tcBorders>
              <w:top w:val="single" w:sz="4" w:space="0" w:color="auto"/>
              <w:left w:val="nil"/>
              <w:bottom w:val="single" w:sz="8" w:space="0" w:color="auto"/>
              <w:right w:val="single" w:sz="8" w:space="0" w:color="auto"/>
            </w:tcBorders>
            <w:shd w:val="clear" w:color="auto" w:fill="auto"/>
            <w:noWrap/>
            <w:vAlign w:val="center"/>
          </w:tcPr>
          <w:p w14:paraId="250F7C6D" w14:textId="5AEAD222" w:rsidR="003E0CA0" w:rsidRPr="0065296C" w:rsidRDefault="00012776">
            <w:pPr>
              <w:suppressLineNumbers w:val="0"/>
              <w:tabs>
                <w:tab w:val="clear" w:pos="907"/>
                <w:tab w:val="clear" w:pos="9185"/>
              </w:tabs>
              <w:suppressAutoHyphens w:val="0"/>
              <w:spacing w:line="240" w:lineRule="auto"/>
              <w:jc w:val="center"/>
              <w:rPr>
                <w:rFonts w:ascii="Arial" w:hAnsi="Arial" w:cs="Arial"/>
                <w:color w:val="000000"/>
                <w:sz w:val="18"/>
                <w:szCs w:val="21"/>
              </w:rPr>
            </w:pPr>
            <w:r w:rsidRPr="0065296C">
              <w:rPr>
                <w:rFonts w:ascii="Arial" w:hAnsi="Arial" w:cs="Arial"/>
                <w:color w:val="000000"/>
                <w:sz w:val="18"/>
                <w:szCs w:val="21"/>
              </w:rPr>
              <w:t>0%</w:t>
            </w:r>
          </w:p>
        </w:tc>
        <w:tc>
          <w:tcPr>
            <w:tcW w:w="777" w:type="dxa"/>
            <w:tcBorders>
              <w:top w:val="single" w:sz="4" w:space="0" w:color="auto"/>
              <w:left w:val="nil"/>
              <w:bottom w:val="single" w:sz="8" w:space="0" w:color="auto"/>
              <w:right w:val="single" w:sz="8" w:space="0" w:color="auto"/>
            </w:tcBorders>
            <w:shd w:val="clear" w:color="auto" w:fill="auto"/>
            <w:vAlign w:val="center"/>
          </w:tcPr>
          <w:p w14:paraId="5E253A50" w14:textId="7D8C404F" w:rsidR="003E0CA0" w:rsidRPr="0065296C" w:rsidRDefault="00012776" w:rsidP="0065296C">
            <w:pPr>
              <w:suppressLineNumbers w:val="0"/>
              <w:tabs>
                <w:tab w:val="clear" w:pos="907"/>
                <w:tab w:val="clear" w:pos="9185"/>
              </w:tabs>
              <w:suppressAutoHyphens w:val="0"/>
              <w:spacing w:line="240" w:lineRule="auto"/>
              <w:jc w:val="center"/>
              <w:rPr>
                <w:rFonts w:ascii="Arial" w:hAnsi="Arial" w:cs="Arial"/>
                <w:color w:val="000000"/>
                <w:sz w:val="18"/>
                <w:szCs w:val="21"/>
              </w:rPr>
            </w:pPr>
            <w:r w:rsidRPr="0065296C">
              <w:rPr>
                <w:rFonts w:ascii="Arial" w:hAnsi="Arial" w:cs="Arial"/>
                <w:color w:val="000000"/>
                <w:sz w:val="18"/>
                <w:szCs w:val="21"/>
              </w:rPr>
              <w:t>0%</w:t>
            </w:r>
          </w:p>
        </w:tc>
        <w:tc>
          <w:tcPr>
            <w:tcW w:w="777" w:type="dxa"/>
            <w:tcBorders>
              <w:top w:val="single" w:sz="4" w:space="0" w:color="auto"/>
              <w:left w:val="nil"/>
              <w:bottom w:val="single" w:sz="8" w:space="0" w:color="auto"/>
              <w:right w:val="single" w:sz="8" w:space="0" w:color="auto"/>
            </w:tcBorders>
            <w:shd w:val="clear" w:color="auto" w:fill="auto"/>
            <w:vAlign w:val="center"/>
          </w:tcPr>
          <w:p w14:paraId="553AEB4C" w14:textId="088C0E5D" w:rsidR="003E0CA0" w:rsidRPr="0065296C" w:rsidRDefault="00012776" w:rsidP="0065296C">
            <w:pPr>
              <w:suppressLineNumbers w:val="0"/>
              <w:tabs>
                <w:tab w:val="clear" w:pos="907"/>
                <w:tab w:val="clear" w:pos="9185"/>
              </w:tabs>
              <w:suppressAutoHyphens w:val="0"/>
              <w:spacing w:line="240" w:lineRule="auto"/>
              <w:jc w:val="center"/>
              <w:rPr>
                <w:rFonts w:ascii="Arial" w:hAnsi="Arial" w:cs="Arial"/>
                <w:color w:val="000000"/>
                <w:sz w:val="18"/>
                <w:szCs w:val="21"/>
              </w:rPr>
            </w:pPr>
            <w:r w:rsidRPr="0065296C">
              <w:rPr>
                <w:rFonts w:ascii="Arial" w:hAnsi="Arial" w:cs="Arial"/>
                <w:color w:val="000000"/>
                <w:sz w:val="18"/>
                <w:szCs w:val="21"/>
              </w:rPr>
              <w:t>0%</w:t>
            </w:r>
          </w:p>
        </w:tc>
        <w:tc>
          <w:tcPr>
            <w:tcW w:w="777" w:type="dxa"/>
            <w:tcBorders>
              <w:top w:val="single" w:sz="4" w:space="0" w:color="auto"/>
              <w:left w:val="nil"/>
              <w:bottom w:val="single" w:sz="8" w:space="0" w:color="auto"/>
              <w:right w:val="single" w:sz="8" w:space="0" w:color="auto"/>
            </w:tcBorders>
            <w:vAlign w:val="center"/>
          </w:tcPr>
          <w:p w14:paraId="0AB169E4" w14:textId="000FBC6A" w:rsidR="003E0CA0" w:rsidRPr="0065296C" w:rsidRDefault="00012776" w:rsidP="0065296C">
            <w:pPr>
              <w:suppressLineNumbers w:val="0"/>
              <w:tabs>
                <w:tab w:val="clear" w:pos="907"/>
                <w:tab w:val="clear" w:pos="9185"/>
              </w:tabs>
              <w:suppressAutoHyphens w:val="0"/>
              <w:spacing w:line="240" w:lineRule="auto"/>
              <w:jc w:val="center"/>
              <w:rPr>
                <w:rFonts w:ascii="Arial" w:hAnsi="Arial" w:cs="Arial"/>
                <w:color w:val="000000"/>
                <w:sz w:val="18"/>
                <w:szCs w:val="21"/>
              </w:rPr>
            </w:pPr>
            <w:r w:rsidRPr="0065296C">
              <w:rPr>
                <w:rFonts w:ascii="Arial" w:hAnsi="Arial" w:cs="Arial"/>
                <w:color w:val="000000"/>
                <w:sz w:val="18"/>
                <w:szCs w:val="21"/>
              </w:rPr>
              <w:t>0%</w:t>
            </w:r>
          </w:p>
        </w:tc>
        <w:tc>
          <w:tcPr>
            <w:tcW w:w="777" w:type="dxa"/>
            <w:tcBorders>
              <w:top w:val="single" w:sz="4" w:space="0" w:color="auto"/>
              <w:left w:val="nil"/>
              <w:bottom w:val="single" w:sz="8" w:space="0" w:color="auto"/>
              <w:right w:val="single" w:sz="8" w:space="0" w:color="auto"/>
            </w:tcBorders>
            <w:vAlign w:val="center"/>
          </w:tcPr>
          <w:p w14:paraId="77B72793" w14:textId="76BBCB94" w:rsidR="003E0CA0" w:rsidRPr="0065296C" w:rsidRDefault="00012776" w:rsidP="0065296C">
            <w:pPr>
              <w:suppressLineNumbers w:val="0"/>
              <w:tabs>
                <w:tab w:val="clear" w:pos="907"/>
                <w:tab w:val="clear" w:pos="9185"/>
              </w:tabs>
              <w:suppressAutoHyphens w:val="0"/>
              <w:spacing w:line="240" w:lineRule="auto"/>
              <w:jc w:val="center"/>
              <w:rPr>
                <w:rFonts w:ascii="Arial" w:hAnsi="Arial" w:cs="Arial"/>
                <w:color w:val="000000"/>
                <w:sz w:val="18"/>
                <w:szCs w:val="21"/>
              </w:rPr>
            </w:pPr>
            <w:r w:rsidRPr="0065296C">
              <w:rPr>
                <w:rFonts w:ascii="Arial" w:hAnsi="Arial" w:cs="Arial"/>
                <w:color w:val="000000"/>
                <w:sz w:val="18"/>
                <w:szCs w:val="21"/>
              </w:rPr>
              <w:t>0%</w:t>
            </w:r>
          </w:p>
        </w:tc>
        <w:tc>
          <w:tcPr>
            <w:tcW w:w="777" w:type="dxa"/>
            <w:tcBorders>
              <w:top w:val="single" w:sz="4" w:space="0" w:color="auto"/>
              <w:left w:val="nil"/>
              <w:bottom w:val="single" w:sz="8" w:space="0" w:color="auto"/>
              <w:right w:val="single" w:sz="8" w:space="0" w:color="auto"/>
            </w:tcBorders>
            <w:vAlign w:val="center"/>
          </w:tcPr>
          <w:p w14:paraId="3F1D9308" w14:textId="1D7DD8E4" w:rsidR="003E0CA0" w:rsidRPr="0065296C" w:rsidRDefault="00012776" w:rsidP="0065296C">
            <w:pPr>
              <w:suppressLineNumbers w:val="0"/>
              <w:tabs>
                <w:tab w:val="clear" w:pos="907"/>
                <w:tab w:val="clear" w:pos="9185"/>
              </w:tabs>
              <w:suppressAutoHyphens w:val="0"/>
              <w:spacing w:line="240" w:lineRule="auto"/>
              <w:jc w:val="center"/>
              <w:rPr>
                <w:rFonts w:ascii="Arial" w:hAnsi="Arial" w:cs="Arial"/>
                <w:color w:val="000000"/>
                <w:sz w:val="18"/>
                <w:szCs w:val="21"/>
              </w:rPr>
            </w:pPr>
            <w:r w:rsidRPr="0065296C">
              <w:rPr>
                <w:rFonts w:ascii="Arial" w:hAnsi="Arial" w:cs="Arial"/>
                <w:color w:val="000000"/>
                <w:sz w:val="18"/>
                <w:szCs w:val="21"/>
              </w:rPr>
              <w:t>0%</w:t>
            </w:r>
          </w:p>
        </w:tc>
        <w:tc>
          <w:tcPr>
            <w:tcW w:w="777" w:type="dxa"/>
            <w:tcBorders>
              <w:top w:val="single" w:sz="4" w:space="0" w:color="auto"/>
              <w:left w:val="nil"/>
              <w:bottom w:val="single" w:sz="8" w:space="0" w:color="auto"/>
              <w:right w:val="single" w:sz="8" w:space="0" w:color="auto"/>
            </w:tcBorders>
            <w:vAlign w:val="center"/>
          </w:tcPr>
          <w:p w14:paraId="624E01F4" w14:textId="7FF66822" w:rsidR="003E0CA0" w:rsidRPr="0065296C" w:rsidRDefault="00012776" w:rsidP="0065296C">
            <w:pPr>
              <w:suppressLineNumbers w:val="0"/>
              <w:tabs>
                <w:tab w:val="clear" w:pos="907"/>
                <w:tab w:val="clear" w:pos="9185"/>
              </w:tabs>
              <w:suppressAutoHyphens w:val="0"/>
              <w:spacing w:line="240" w:lineRule="auto"/>
              <w:jc w:val="center"/>
              <w:rPr>
                <w:rFonts w:ascii="Arial" w:hAnsi="Arial" w:cs="Arial"/>
                <w:color w:val="000000"/>
                <w:sz w:val="18"/>
                <w:szCs w:val="21"/>
              </w:rPr>
            </w:pPr>
            <w:r w:rsidRPr="0065296C">
              <w:rPr>
                <w:rFonts w:ascii="Arial" w:hAnsi="Arial" w:cs="Arial"/>
                <w:color w:val="000000"/>
                <w:sz w:val="18"/>
                <w:szCs w:val="21"/>
              </w:rPr>
              <w:t>0%</w:t>
            </w:r>
          </w:p>
        </w:tc>
        <w:tc>
          <w:tcPr>
            <w:tcW w:w="777" w:type="dxa"/>
            <w:tcBorders>
              <w:top w:val="single" w:sz="4" w:space="0" w:color="auto"/>
              <w:left w:val="nil"/>
              <w:bottom w:val="single" w:sz="8" w:space="0" w:color="auto"/>
              <w:right w:val="single" w:sz="8" w:space="0" w:color="auto"/>
            </w:tcBorders>
            <w:vAlign w:val="center"/>
          </w:tcPr>
          <w:p w14:paraId="7E599961" w14:textId="2B05E13B" w:rsidR="003E0CA0" w:rsidRPr="0065296C" w:rsidRDefault="00012776" w:rsidP="0065296C">
            <w:pPr>
              <w:suppressLineNumbers w:val="0"/>
              <w:tabs>
                <w:tab w:val="clear" w:pos="907"/>
                <w:tab w:val="clear" w:pos="9185"/>
              </w:tabs>
              <w:suppressAutoHyphens w:val="0"/>
              <w:spacing w:line="240" w:lineRule="auto"/>
              <w:jc w:val="center"/>
              <w:rPr>
                <w:rFonts w:ascii="Arial" w:hAnsi="Arial" w:cs="Arial"/>
                <w:color w:val="000000"/>
                <w:sz w:val="18"/>
                <w:szCs w:val="21"/>
              </w:rPr>
            </w:pPr>
            <w:r w:rsidRPr="0065296C">
              <w:rPr>
                <w:rFonts w:ascii="Arial" w:hAnsi="Arial" w:cs="Arial"/>
                <w:color w:val="000000"/>
                <w:sz w:val="18"/>
                <w:szCs w:val="21"/>
              </w:rPr>
              <w:t>0%</w:t>
            </w:r>
          </w:p>
        </w:tc>
        <w:tc>
          <w:tcPr>
            <w:tcW w:w="777" w:type="dxa"/>
            <w:tcBorders>
              <w:top w:val="single" w:sz="4" w:space="0" w:color="auto"/>
              <w:left w:val="nil"/>
              <w:bottom w:val="single" w:sz="8" w:space="0" w:color="auto"/>
              <w:right w:val="single" w:sz="8" w:space="0" w:color="auto"/>
            </w:tcBorders>
            <w:vAlign w:val="center"/>
          </w:tcPr>
          <w:p w14:paraId="6912C630" w14:textId="3CD17AA0" w:rsidR="003E0CA0" w:rsidRPr="0065296C" w:rsidRDefault="007201E1" w:rsidP="0065296C">
            <w:pPr>
              <w:suppressLineNumbers w:val="0"/>
              <w:tabs>
                <w:tab w:val="clear" w:pos="907"/>
                <w:tab w:val="clear" w:pos="9185"/>
              </w:tabs>
              <w:suppressAutoHyphens w:val="0"/>
              <w:spacing w:line="240" w:lineRule="auto"/>
              <w:jc w:val="center"/>
              <w:rPr>
                <w:rFonts w:ascii="Arial" w:hAnsi="Arial" w:cs="Arial"/>
                <w:color w:val="000000"/>
                <w:sz w:val="18"/>
                <w:szCs w:val="21"/>
              </w:rPr>
            </w:pPr>
            <w:r w:rsidRPr="0065296C">
              <w:rPr>
                <w:rFonts w:ascii="Arial" w:hAnsi="Arial" w:cs="Arial"/>
                <w:color w:val="000000"/>
                <w:sz w:val="18"/>
                <w:szCs w:val="21"/>
              </w:rPr>
              <w:t>5%</w:t>
            </w:r>
          </w:p>
        </w:tc>
        <w:tc>
          <w:tcPr>
            <w:tcW w:w="777" w:type="dxa"/>
            <w:tcBorders>
              <w:top w:val="single" w:sz="4" w:space="0" w:color="auto"/>
              <w:left w:val="nil"/>
              <w:bottom w:val="single" w:sz="8" w:space="0" w:color="auto"/>
              <w:right w:val="single" w:sz="8" w:space="0" w:color="auto"/>
            </w:tcBorders>
            <w:vAlign w:val="center"/>
          </w:tcPr>
          <w:p w14:paraId="1EC33045" w14:textId="4B5A1781" w:rsidR="003E0CA0" w:rsidRPr="0065296C" w:rsidRDefault="007201E1" w:rsidP="0065296C">
            <w:pPr>
              <w:suppressLineNumbers w:val="0"/>
              <w:tabs>
                <w:tab w:val="clear" w:pos="907"/>
                <w:tab w:val="clear" w:pos="9185"/>
              </w:tabs>
              <w:suppressAutoHyphens w:val="0"/>
              <w:spacing w:line="240" w:lineRule="auto"/>
              <w:jc w:val="center"/>
              <w:rPr>
                <w:rFonts w:ascii="Arial" w:hAnsi="Arial" w:cs="Arial"/>
                <w:color w:val="000000"/>
                <w:sz w:val="18"/>
                <w:szCs w:val="21"/>
              </w:rPr>
            </w:pPr>
            <w:r w:rsidRPr="0065296C">
              <w:rPr>
                <w:rFonts w:ascii="Arial" w:hAnsi="Arial" w:cs="Arial"/>
                <w:color w:val="000000"/>
                <w:sz w:val="18"/>
                <w:szCs w:val="21"/>
              </w:rPr>
              <w:t>10%</w:t>
            </w:r>
          </w:p>
        </w:tc>
        <w:tc>
          <w:tcPr>
            <w:tcW w:w="777" w:type="dxa"/>
            <w:tcBorders>
              <w:top w:val="single" w:sz="4" w:space="0" w:color="auto"/>
              <w:left w:val="nil"/>
              <w:bottom w:val="single" w:sz="8" w:space="0" w:color="auto"/>
              <w:right w:val="single" w:sz="8" w:space="0" w:color="auto"/>
            </w:tcBorders>
            <w:vAlign w:val="center"/>
          </w:tcPr>
          <w:p w14:paraId="5E3031E0" w14:textId="5A44965D" w:rsidR="003E0CA0" w:rsidRPr="0065296C" w:rsidRDefault="007201E1" w:rsidP="0065296C">
            <w:pPr>
              <w:suppressLineNumbers w:val="0"/>
              <w:tabs>
                <w:tab w:val="clear" w:pos="907"/>
                <w:tab w:val="clear" w:pos="9185"/>
              </w:tabs>
              <w:suppressAutoHyphens w:val="0"/>
              <w:spacing w:line="240" w:lineRule="auto"/>
              <w:jc w:val="center"/>
              <w:rPr>
                <w:rFonts w:ascii="Arial" w:hAnsi="Arial" w:cs="Arial"/>
                <w:color w:val="000000"/>
                <w:sz w:val="18"/>
                <w:szCs w:val="21"/>
              </w:rPr>
            </w:pPr>
            <w:r w:rsidRPr="0065296C">
              <w:rPr>
                <w:rFonts w:ascii="Arial" w:hAnsi="Arial" w:cs="Arial"/>
                <w:color w:val="000000"/>
                <w:sz w:val="18"/>
                <w:szCs w:val="21"/>
              </w:rPr>
              <w:t>15%</w:t>
            </w:r>
          </w:p>
        </w:tc>
      </w:tr>
      <w:tr w:rsidR="007201E1" w:rsidRPr="007201E1" w14:paraId="526A7BE5" w14:textId="79F6349D" w:rsidTr="0065296C">
        <w:trPr>
          <w:trHeight w:val="708"/>
        </w:trPr>
        <w:tc>
          <w:tcPr>
            <w:tcW w:w="1277" w:type="dxa"/>
            <w:tcBorders>
              <w:top w:val="nil"/>
              <w:left w:val="single" w:sz="8" w:space="0" w:color="auto"/>
              <w:bottom w:val="single" w:sz="8" w:space="0" w:color="auto"/>
              <w:right w:val="single" w:sz="8" w:space="0" w:color="auto"/>
            </w:tcBorders>
            <w:shd w:val="clear" w:color="auto" w:fill="auto"/>
            <w:noWrap/>
            <w:vAlign w:val="center"/>
          </w:tcPr>
          <w:p w14:paraId="4F2E31BF" w14:textId="27F87E08" w:rsidR="003E0CA0" w:rsidRPr="0065296C" w:rsidRDefault="007201E1" w:rsidP="0065296C">
            <w:pPr>
              <w:suppressLineNumbers w:val="0"/>
              <w:tabs>
                <w:tab w:val="clear" w:pos="907"/>
                <w:tab w:val="clear" w:pos="9185"/>
              </w:tabs>
              <w:suppressAutoHyphens w:val="0"/>
              <w:spacing w:line="240" w:lineRule="auto"/>
              <w:jc w:val="center"/>
              <w:rPr>
                <w:rFonts w:ascii="Arial" w:hAnsi="Arial" w:cs="Arial"/>
                <w:color w:val="000000"/>
                <w:sz w:val="18"/>
                <w:szCs w:val="21"/>
              </w:rPr>
            </w:pPr>
            <w:r w:rsidRPr="0065296C">
              <w:rPr>
                <w:rFonts w:ascii="Arial" w:hAnsi="Arial" w:cs="Arial"/>
                <w:color w:val="000000"/>
                <w:sz w:val="18"/>
                <w:szCs w:val="21"/>
              </w:rPr>
              <w:t>Total</w:t>
            </w:r>
          </w:p>
        </w:tc>
        <w:tc>
          <w:tcPr>
            <w:tcW w:w="833" w:type="dxa"/>
            <w:tcBorders>
              <w:top w:val="nil"/>
              <w:left w:val="nil"/>
              <w:bottom w:val="single" w:sz="8" w:space="0" w:color="auto"/>
              <w:right w:val="single" w:sz="8" w:space="0" w:color="auto"/>
            </w:tcBorders>
            <w:shd w:val="clear" w:color="auto" w:fill="auto"/>
            <w:noWrap/>
            <w:vAlign w:val="center"/>
          </w:tcPr>
          <w:p w14:paraId="3A37469A" w14:textId="365E5403" w:rsidR="003E0CA0" w:rsidRPr="0065296C" w:rsidRDefault="007201E1">
            <w:pPr>
              <w:suppressLineNumbers w:val="0"/>
              <w:tabs>
                <w:tab w:val="clear" w:pos="907"/>
                <w:tab w:val="clear" w:pos="9185"/>
              </w:tabs>
              <w:suppressAutoHyphens w:val="0"/>
              <w:spacing w:line="240" w:lineRule="auto"/>
              <w:jc w:val="center"/>
              <w:rPr>
                <w:rFonts w:ascii="Arial" w:hAnsi="Arial" w:cs="Arial"/>
                <w:color w:val="000000"/>
                <w:sz w:val="18"/>
                <w:szCs w:val="21"/>
              </w:rPr>
            </w:pPr>
            <w:r w:rsidRPr="0065296C">
              <w:rPr>
                <w:rFonts w:ascii="Arial" w:hAnsi="Arial" w:cs="Arial"/>
                <w:color w:val="000000"/>
                <w:sz w:val="18"/>
                <w:szCs w:val="21"/>
              </w:rPr>
              <w:t>100%</w:t>
            </w:r>
          </w:p>
        </w:tc>
        <w:tc>
          <w:tcPr>
            <w:tcW w:w="777" w:type="dxa"/>
            <w:tcBorders>
              <w:top w:val="nil"/>
              <w:left w:val="nil"/>
              <w:bottom w:val="single" w:sz="8" w:space="0" w:color="auto"/>
              <w:right w:val="single" w:sz="8" w:space="0" w:color="auto"/>
            </w:tcBorders>
            <w:shd w:val="clear" w:color="auto" w:fill="auto"/>
            <w:vAlign w:val="center"/>
          </w:tcPr>
          <w:p w14:paraId="759C5018" w14:textId="5BC9CBD5" w:rsidR="003E0CA0" w:rsidRPr="0065296C" w:rsidRDefault="007201E1" w:rsidP="0065296C">
            <w:pPr>
              <w:suppressLineNumbers w:val="0"/>
              <w:tabs>
                <w:tab w:val="clear" w:pos="907"/>
                <w:tab w:val="clear" w:pos="9185"/>
              </w:tabs>
              <w:suppressAutoHyphens w:val="0"/>
              <w:spacing w:line="240" w:lineRule="auto"/>
              <w:jc w:val="center"/>
              <w:rPr>
                <w:rFonts w:ascii="Arial" w:hAnsi="Arial" w:cs="Arial"/>
                <w:color w:val="000000"/>
                <w:sz w:val="18"/>
                <w:szCs w:val="21"/>
              </w:rPr>
            </w:pPr>
            <w:r w:rsidRPr="0065296C">
              <w:rPr>
                <w:rFonts w:ascii="Arial" w:hAnsi="Arial" w:cs="Arial"/>
                <w:color w:val="000000"/>
                <w:sz w:val="18"/>
                <w:szCs w:val="21"/>
              </w:rPr>
              <w:t>100%</w:t>
            </w:r>
          </w:p>
        </w:tc>
        <w:tc>
          <w:tcPr>
            <w:tcW w:w="777" w:type="dxa"/>
            <w:tcBorders>
              <w:top w:val="nil"/>
              <w:left w:val="nil"/>
              <w:bottom w:val="single" w:sz="8" w:space="0" w:color="auto"/>
              <w:right w:val="single" w:sz="8" w:space="0" w:color="auto"/>
            </w:tcBorders>
            <w:shd w:val="clear" w:color="auto" w:fill="auto"/>
            <w:vAlign w:val="center"/>
          </w:tcPr>
          <w:p w14:paraId="08B993DF" w14:textId="23672D2E" w:rsidR="003E0CA0" w:rsidRPr="0065296C" w:rsidRDefault="007201E1" w:rsidP="0065296C">
            <w:pPr>
              <w:suppressLineNumbers w:val="0"/>
              <w:tabs>
                <w:tab w:val="clear" w:pos="907"/>
                <w:tab w:val="clear" w:pos="9185"/>
              </w:tabs>
              <w:suppressAutoHyphens w:val="0"/>
              <w:spacing w:line="240" w:lineRule="auto"/>
              <w:jc w:val="center"/>
              <w:rPr>
                <w:rFonts w:ascii="Arial" w:hAnsi="Arial" w:cs="Arial"/>
                <w:color w:val="000000"/>
                <w:sz w:val="18"/>
                <w:szCs w:val="21"/>
              </w:rPr>
            </w:pPr>
            <w:r w:rsidRPr="0065296C">
              <w:rPr>
                <w:rFonts w:ascii="Arial" w:hAnsi="Arial" w:cs="Arial"/>
                <w:color w:val="000000"/>
                <w:sz w:val="18"/>
                <w:szCs w:val="21"/>
              </w:rPr>
              <w:t>100%</w:t>
            </w:r>
          </w:p>
        </w:tc>
        <w:tc>
          <w:tcPr>
            <w:tcW w:w="777" w:type="dxa"/>
            <w:tcBorders>
              <w:top w:val="nil"/>
              <w:left w:val="nil"/>
              <w:bottom w:val="single" w:sz="8" w:space="0" w:color="auto"/>
              <w:right w:val="single" w:sz="8" w:space="0" w:color="auto"/>
            </w:tcBorders>
            <w:vAlign w:val="center"/>
          </w:tcPr>
          <w:p w14:paraId="28116B6E" w14:textId="483CF276" w:rsidR="003E0CA0" w:rsidRPr="0065296C" w:rsidRDefault="007201E1" w:rsidP="0065296C">
            <w:pPr>
              <w:suppressLineNumbers w:val="0"/>
              <w:tabs>
                <w:tab w:val="clear" w:pos="907"/>
                <w:tab w:val="clear" w:pos="9185"/>
              </w:tabs>
              <w:suppressAutoHyphens w:val="0"/>
              <w:spacing w:line="240" w:lineRule="auto"/>
              <w:jc w:val="center"/>
              <w:rPr>
                <w:rFonts w:ascii="Arial" w:hAnsi="Arial" w:cs="Arial"/>
                <w:color w:val="000000"/>
                <w:sz w:val="18"/>
                <w:szCs w:val="21"/>
              </w:rPr>
            </w:pPr>
            <w:r w:rsidRPr="0065296C">
              <w:rPr>
                <w:rFonts w:ascii="Arial" w:hAnsi="Arial" w:cs="Arial"/>
                <w:color w:val="000000"/>
                <w:sz w:val="18"/>
                <w:szCs w:val="21"/>
              </w:rPr>
              <w:t>100%</w:t>
            </w:r>
          </w:p>
        </w:tc>
        <w:tc>
          <w:tcPr>
            <w:tcW w:w="777" w:type="dxa"/>
            <w:tcBorders>
              <w:top w:val="nil"/>
              <w:left w:val="nil"/>
              <w:bottom w:val="single" w:sz="8" w:space="0" w:color="auto"/>
              <w:right w:val="single" w:sz="8" w:space="0" w:color="auto"/>
            </w:tcBorders>
            <w:vAlign w:val="center"/>
          </w:tcPr>
          <w:p w14:paraId="783E4489" w14:textId="652E6DE9" w:rsidR="003E0CA0" w:rsidRPr="0065296C" w:rsidRDefault="007201E1" w:rsidP="0065296C">
            <w:pPr>
              <w:suppressLineNumbers w:val="0"/>
              <w:tabs>
                <w:tab w:val="clear" w:pos="907"/>
                <w:tab w:val="clear" w:pos="9185"/>
              </w:tabs>
              <w:suppressAutoHyphens w:val="0"/>
              <w:spacing w:line="240" w:lineRule="auto"/>
              <w:jc w:val="center"/>
              <w:rPr>
                <w:rFonts w:ascii="Arial" w:hAnsi="Arial" w:cs="Arial"/>
                <w:color w:val="000000"/>
                <w:sz w:val="18"/>
                <w:szCs w:val="21"/>
              </w:rPr>
            </w:pPr>
            <w:r w:rsidRPr="0065296C">
              <w:rPr>
                <w:rFonts w:ascii="Arial" w:hAnsi="Arial" w:cs="Arial"/>
                <w:color w:val="000000"/>
                <w:sz w:val="18"/>
                <w:szCs w:val="21"/>
              </w:rPr>
              <w:t>100%</w:t>
            </w:r>
          </w:p>
        </w:tc>
        <w:tc>
          <w:tcPr>
            <w:tcW w:w="777" w:type="dxa"/>
            <w:tcBorders>
              <w:top w:val="nil"/>
              <w:left w:val="nil"/>
              <w:bottom w:val="single" w:sz="8" w:space="0" w:color="auto"/>
              <w:right w:val="single" w:sz="8" w:space="0" w:color="auto"/>
            </w:tcBorders>
            <w:vAlign w:val="center"/>
          </w:tcPr>
          <w:p w14:paraId="13CB8F15" w14:textId="413B63B4" w:rsidR="003E0CA0" w:rsidRPr="0065296C" w:rsidRDefault="007201E1" w:rsidP="0065296C">
            <w:pPr>
              <w:suppressLineNumbers w:val="0"/>
              <w:tabs>
                <w:tab w:val="clear" w:pos="907"/>
                <w:tab w:val="clear" w:pos="9185"/>
              </w:tabs>
              <w:suppressAutoHyphens w:val="0"/>
              <w:spacing w:line="240" w:lineRule="auto"/>
              <w:jc w:val="center"/>
              <w:rPr>
                <w:rFonts w:ascii="Arial" w:hAnsi="Arial" w:cs="Arial"/>
                <w:color w:val="000000"/>
                <w:sz w:val="18"/>
                <w:szCs w:val="21"/>
              </w:rPr>
            </w:pPr>
            <w:r w:rsidRPr="0065296C">
              <w:rPr>
                <w:rFonts w:ascii="Arial" w:hAnsi="Arial" w:cs="Arial"/>
                <w:color w:val="000000"/>
                <w:sz w:val="18"/>
                <w:szCs w:val="21"/>
              </w:rPr>
              <w:t>100%</w:t>
            </w:r>
          </w:p>
        </w:tc>
        <w:tc>
          <w:tcPr>
            <w:tcW w:w="777" w:type="dxa"/>
            <w:tcBorders>
              <w:top w:val="nil"/>
              <w:left w:val="nil"/>
              <w:bottom w:val="single" w:sz="8" w:space="0" w:color="auto"/>
              <w:right w:val="single" w:sz="8" w:space="0" w:color="auto"/>
            </w:tcBorders>
            <w:vAlign w:val="center"/>
          </w:tcPr>
          <w:p w14:paraId="574905AA" w14:textId="1E6CC4FD" w:rsidR="003E0CA0" w:rsidRPr="0065296C" w:rsidRDefault="007201E1" w:rsidP="0065296C">
            <w:pPr>
              <w:suppressLineNumbers w:val="0"/>
              <w:tabs>
                <w:tab w:val="clear" w:pos="907"/>
                <w:tab w:val="clear" w:pos="9185"/>
              </w:tabs>
              <w:suppressAutoHyphens w:val="0"/>
              <w:spacing w:line="240" w:lineRule="auto"/>
              <w:jc w:val="center"/>
              <w:rPr>
                <w:rFonts w:ascii="Arial" w:hAnsi="Arial" w:cs="Arial"/>
                <w:color w:val="000000"/>
                <w:sz w:val="18"/>
                <w:szCs w:val="21"/>
              </w:rPr>
            </w:pPr>
            <w:r w:rsidRPr="0065296C">
              <w:rPr>
                <w:rFonts w:ascii="Arial" w:hAnsi="Arial" w:cs="Arial"/>
                <w:color w:val="000000"/>
                <w:sz w:val="18"/>
                <w:szCs w:val="21"/>
              </w:rPr>
              <w:t>100%</w:t>
            </w:r>
          </w:p>
        </w:tc>
        <w:tc>
          <w:tcPr>
            <w:tcW w:w="777" w:type="dxa"/>
            <w:tcBorders>
              <w:top w:val="nil"/>
              <w:left w:val="nil"/>
              <w:bottom w:val="single" w:sz="8" w:space="0" w:color="auto"/>
              <w:right w:val="single" w:sz="8" w:space="0" w:color="auto"/>
            </w:tcBorders>
            <w:vAlign w:val="center"/>
          </w:tcPr>
          <w:p w14:paraId="0CB41BF0" w14:textId="4DCDD428" w:rsidR="003E0CA0" w:rsidRPr="0065296C" w:rsidRDefault="007201E1" w:rsidP="0065296C">
            <w:pPr>
              <w:suppressLineNumbers w:val="0"/>
              <w:tabs>
                <w:tab w:val="clear" w:pos="907"/>
                <w:tab w:val="clear" w:pos="9185"/>
              </w:tabs>
              <w:suppressAutoHyphens w:val="0"/>
              <w:spacing w:line="240" w:lineRule="auto"/>
              <w:jc w:val="center"/>
              <w:rPr>
                <w:rFonts w:ascii="Arial" w:hAnsi="Arial" w:cs="Arial"/>
                <w:color w:val="000000"/>
                <w:sz w:val="18"/>
                <w:szCs w:val="21"/>
              </w:rPr>
            </w:pPr>
            <w:r w:rsidRPr="0065296C">
              <w:rPr>
                <w:rFonts w:ascii="Arial" w:hAnsi="Arial" w:cs="Arial"/>
                <w:color w:val="000000"/>
                <w:sz w:val="18"/>
                <w:szCs w:val="21"/>
              </w:rPr>
              <w:t>100%</w:t>
            </w:r>
          </w:p>
        </w:tc>
        <w:tc>
          <w:tcPr>
            <w:tcW w:w="777" w:type="dxa"/>
            <w:tcBorders>
              <w:top w:val="nil"/>
              <w:left w:val="nil"/>
              <w:bottom w:val="single" w:sz="8" w:space="0" w:color="auto"/>
              <w:right w:val="single" w:sz="8" w:space="0" w:color="auto"/>
            </w:tcBorders>
            <w:vAlign w:val="center"/>
          </w:tcPr>
          <w:p w14:paraId="06DAA62F" w14:textId="6C50EFD9" w:rsidR="003E0CA0" w:rsidRPr="0065296C" w:rsidRDefault="007201E1" w:rsidP="0065296C">
            <w:pPr>
              <w:suppressLineNumbers w:val="0"/>
              <w:tabs>
                <w:tab w:val="clear" w:pos="907"/>
                <w:tab w:val="clear" w:pos="9185"/>
              </w:tabs>
              <w:suppressAutoHyphens w:val="0"/>
              <w:spacing w:line="240" w:lineRule="auto"/>
              <w:jc w:val="center"/>
              <w:rPr>
                <w:rFonts w:ascii="Arial" w:hAnsi="Arial" w:cs="Arial"/>
                <w:color w:val="000000"/>
                <w:sz w:val="18"/>
                <w:szCs w:val="21"/>
              </w:rPr>
            </w:pPr>
            <w:r w:rsidRPr="0065296C">
              <w:rPr>
                <w:rFonts w:ascii="Arial" w:hAnsi="Arial" w:cs="Arial"/>
                <w:color w:val="000000"/>
                <w:sz w:val="18"/>
                <w:szCs w:val="21"/>
              </w:rPr>
              <w:t>100%</w:t>
            </w:r>
          </w:p>
        </w:tc>
        <w:tc>
          <w:tcPr>
            <w:tcW w:w="777" w:type="dxa"/>
            <w:tcBorders>
              <w:top w:val="nil"/>
              <w:left w:val="nil"/>
              <w:bottom w:val="single" w:sz="8" w:space="0" w:color="auto"/>
              <w:right w:val="single" w:sz="8" w:space="0" w:color="auto"/>
            </w:tcBorders>
            <w:vAlign w:val="center"/>
          </w:tcPr>
          <w:p w14:paraId="73394F4C" w14:textId="780E588E" w:rsidR="003E0CA0" w:rsidRPr="0065296C" w:rsidRDefault="007201E1" w:rsidP="0065296C">
            <w:pPr>
              <w:suppressLineNumbers w:val="0"/>
              <w:tabs>
                <w:tab w:val="clear" w:pos="907"/>
                <w:tab w:val="clear" w:pos="9185"/>
              </w:tabs>
              <w:suppressAutoHyphens w:val="0"/>
              <w:spacing w:line="240" w:lineRule="auto"/>
              <w:jc w:val="center"/>
              <w:rPr>
                <w:rFonts w:ascii="Arial" w:hAnsi="Arial" w:cs="Arial"/>
                <w:color w:val="000000"/>
                <w:sz w:val="18"/>
                <w:szCs w:val="21"/>
              </w:rPr>
            </w:pPr>
            <w:r w:rsidRPr="0065296C">
              <w:rPr>
                <w:rFonts w:ascii="Arial" w:hAnsi="Arial" w:cs="Arial"/>
                <w:color w:val="000000"/>
                <w:sz w:val="18"/>
                <w:szCs w:val="21"/>
              </w:rPr>
              <w:t>100%</w:t>
            </w:r>
          </w:p>
        </w:tc>
        <w:tc>
          <w:tcPr>
            <w:tcW w:w="777" w:type="dxa"/>
            <w:tcBorders>
              <w:top w:val="nil"/>
              <w:left w:val="nil"/>
              <w:bottom w:val="single" w:sz="8" w:space="0" w:color="auto"/>
              <w:right w:val="single" w:sz="8" w:space="0" w:color="auto"/>
            </w:tcBorders>
            <w:vAlign w:val="center"/>
          </w:tcPr>
          <w:p w14:paraId="754D6DDB" w14:textId="5968422F" w:rsidR="003E0CA0" w:rsidRPr="0065296C" w:rsidRDefault="007201E1" w:rsidP="0065296C">
            <w:pPr>
              <w:suppressLineNumbers w:val="0"/>
              <w:tabs>
                <w:tab w:val="clear" w:pos="907"/>
                <w:tab w:val="clear" w:pos="9185"/>
              </w:tabs>
              <w:suppressAutoHyphens w:val="0"/>
              <w:spacing w:line="240" w:lineRule="auto"/>
              <w:jc w:val="center"/>
              <w:rPr>
                <w:rFonts w:ascii="Arial" w:hAnsi="Arial" w:cs="Arial"/>
                <w:color w:val="000000"/>
                <w:sz w:val="18"/>
                <w:szCs w:val="21"/>
              </w:rPr>
            </w:pPr>
            <w:r w:rsidRPr="0065296C">
              <w:rPr>
                <w:rFonts w:ascii="Arial" w:hAnsi="Arial" w:cs="Arial"/>
                <w:color w:val="000000"/>
                <w:sz w:val="18"/>
                <w:szCs w:val="21"/>
              </w:rPr>
              <w:t>100%</w:t>
            </w:r>
          </w:p>
        </w:tc>
      </w:tr>
    </w:tbl>
    <w:p w14:paraId="745C5BEB" w14:textId="77777777" w:rsidR="004E4621" w:rsidRDefault="004E4621" w:rsidP="002766B1"/>
    <w:p w14:paraId="01E1F11B" w14:textId="77777777" w:rsidR="005731AA" w:rsidRPr="0065296C" w:rsidRDefault="005731AA" w:rsidP="005731AA">
      <w:pPr>
        <w:spacing w:after="120"/>
        <w:rPr>
          <w:rFonts w:ascii="Arial" w:hAnsi="Arial" w:cs="Arial"/>
          <w:bCs/>
          <w:i/>
          <w:sz w:val="22"/>
        </w:rPr>
      </w:pPr>
      <w:r>
        <w:rPr>
          <w:rFonts w:ascii="Arial" w:hAnsi="Arial" w:cs="Arial"/>
          <w:bCs/>
          <w:i/>
          <w:sz w:val="22"/>
        </w:rPr>
        <w:t>The Balanced Growth – Lump Sum Lifestyle</w:t>
      </w:r>
    </w:p>
    <w:tbl>
      <w:tblPr>
        <w:tblW w:w="9880" w:type="dxa"/>
        <w:tblInd w:w="-10" w:type="dxa"/>
        <w:tblLayout w:type="fixed"/>
        <w:tblLook w:val="04A0" w:firstRow="1" w:lastRow="0" w:firstColumn="1" w:lastColumn="0" w:noHBand="0" w:noVBand="1"/>
      </w:tblPr>
      <w:tblGrid>
        <w:gridCol w:w="1277"/>
        <w:gridCol w:w="833"/>
        <w:gridCol w:w="777"/>
        <w:gridCol w:w="777"/>
        <w:gridCol w:w="777"/>
        <w:gridCol w:w="777"/>
        <w:gridCol w:w="777"/>
        <w:gridCol w:w="777"/>
        <w:gridCol w:w="777"/>
        <w:gridCol w:w="777"/>
        <w:gridCol w:w="777"/>
        <w:gridCol w:w="777"/>
      </w:tblGrid>
      <w:tr w:rsidR="005731AA" w:rsidRPr="006160D0" w14:paraId="023DB2BF" w14:textId="77777777" w:rsidTr="007147A1">
        <w:trPr>
          <w:trHeight w:val="765"/>
        </w:trPr>
        <w:tc>
          <w:tcPr>
            <w:tcW w:w="1277" w:type="dxa"/>
            <w:tcBorders>
              <w:top w:val="single" w:sz="8" w:space="0" w:color="auto"/>
              <w:left w:val="single" w:sz="8" w:space="0" w:color="auto"/>
              <w:bottom w:val="single" w:sz="8" w:space="0" w:color="auto"/>
              <w:right w:val="single" w:sz="8" w:space="0" w:color="auto"/>
            </w:tcBorders>
            <w:shd w:val="clear" w:color="auto" w:fill="8064A2" w:themeFill="accent4"/>
            <w:vAlign w:val="center"/>
            <w:hideMark/>
          </w:tcPr>
          <w:p w14:paraId="53EB56D9"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b/>
                <w:bCs/>
                <w:color w:val="FFFFFF"/>
                <w:sz w:val="18"/>
                <w:szCs w:val="21"/>
              </w:rPr>
            </w:pPr>
            <w:r w:rsidRPr="006160D0">
              <w:rPr>
                <w:rFonts w:ascii="Arial" w:hAnsi="Arial" w:cs="Arial"/>
                <w:b/>
                <w:bCs/>
                <w:color w:val="FFFFFF" w:themeColor="background1"/>
                <w:sz w:val="18"/>
                <w:szCs w:val="21"/>
              </w:rPr>
              <w:t xml:space="preserve">Fund / </w:t>
            </w:r>
            <w:proofErr w:type="spellStart"/>
            <w:r w:rsidRPr="006160D0">
              <w:rPr>
                <w:rFonts w:ascii="Arial" w:hAnsi="Arial" w:cs="Arial"/>
                <w:b/>
                <w:bCs/>
                <w:color w:val="FFFFFF" w:themeColor="background1"/>
                <w:sz w:val="18"/>
                <w:szCs w:val="21"/>
              </w:rPr>
              <w:t>Yrs</w:t>
            </w:r>
            <w:proofErr w:type="spellEnd"/>
            <w:r w:rsidRPr="006160D0">
              <w:rPr>
                <w:rFonts w:ascii="Arial" w:hAnsi="Arial" w:cs="Arial"/>
                <w:b/>
                <w:bCs/>
                <w:color w:val="FFFFFF" w:themeColor="background1"/>
                <w:sz w:val="18"/>
                <w:szCs w:val="21"/>
              </w:rPr>
              <w:t xml:space="preserve"> to Retirement</w:t>
            </w:r>
          </w:p>
        </w:tc>
        <w:tc>
          <w:tcPr>
            <w:tcW w:w="833" w:type="dxa"/>
            <w:tcBorders>
              <w:top w:val="single" w:sz="8" w:space="0" w:color="auto"/>
              <w:left w:val="nil"/>
              <w:bottom w:val="single" w:sz="8" w:space="0" w:color="auto"/>
              <w:right w:val="single" w:sz="8" w:space="0" w:color="auto"/>
            </w:tcBorders>
            <w:shd w:val="clear" w:color="auto" w:fill="8064A2" w:themeFill="accent4"/>
            <w:vAlign w:val="center"/>
            <w:hideMark/>
          </w:tcPr>
          <w:p w14:paraId="066FABF6"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b/>
                <w:bCs/>
                <w:color w:val="FFFFFF"/>
                <w:sz w:val="18"/>
                <w:szCs w:val="21"/>
              </w:rPr>
            </w:pPr>
            <w:r w:rsidRPr="006160D0">
              <w:rPr>
                <w:rFonts w:ascii="Arial" w:hAnsi="Arial" w:cs="Arial"/>
                <w:b/>
                <w:bCs/>
                <w:color w:val="FFFFFF" w:themeColor="background1"/>
                <w:sz w:val="18"/>
                <w:szCs w:val="21"/>
              </w:rPr>
              <w:t>10 or more</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hideMark/>
          </w:tcPr>
          <w:p w14:paraId="0524C0C8"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b/>
                <w:bCs/>
                <w:color w:val="FFFFFF"/>
                <w:sz w:val="18"/>
                <w:szCs w:val="21"/>
              </w:rPr>
            </w:pPr>
            <w:r w:rsidRPr="006160D0">
              <w:rPr>
                <w:rFonts w:ascii="Arial" w:hAnsi="Arial" w:cs="Arial"/>
                <w:b/>
                <w:bCs/>
                <w:color w:val="FFFFFF" w:themeColor="background1"/>
                <w:sz w:val="18"/>
                <w:szCs w:val="21"/>
              </w:rPr>
              <w:t>9</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hideMark/>
          </w:tcPr>
          <w:p w14:paraId="6E0465E9"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b/>
                <w:bCs/>
                <w:color w:val="FFFFFF"/>
                <w:sz w:val="18"/>
                <w:szCs w:val="21"/>
              </w:rPr>
            </w:pPr>
            <w:r w:rsidRPr="006160D0">
              <w:rPr>
                <w:rFonts w:ascii="Arial" w:hAnsi="Arial" w:cs="Arial"/>
                <w:b/>
                <w:bCs/>
                <w:color w:val="FFFFFF" w:themeColor="background1"/>
                <w:sz w:val="18"/>
                <w:szCs w:val="21"/>
              </w:rPr>
              <w:t>8</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39C690C2"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160D0">
              <w:rPr>
                <w:rFonts w:ascii="Arial" w:hAnsi="Arial" w:cs="Arial"/>
                <w:b/>
                <w:bCs/>
                <w:color w:val="FFFFFF" w:themeColor="background1"/>
                <w:sz w:val="18"/>
                <w:szCs w:val="21"/>
              </w:rPr>
              <w:t>7</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11AC38B9"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160D0">
              <w:rPr>
                <w:rFonts w:ascii="Arial" w:hAnsi="Arial" w:cs="Arial"/>
                <w:b/>
                <w:bCs/>
                <w:color w:val="FFFFFF" w:themeColor="background1"/>
                <w:sz w:val="18"/>
                <w:szCs w:val="21"/>
              </w:rPr>
              <w:t>6</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1708C74F"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160D0">
              <w:rPr>
                <w:rFonts w:ascii="Arial" w:hAnsi="Arial" w:cs="Arial"/>
                <w:b/>
                <w:bCs/>
                <w:color w:val="FFFFFF" w:themeColor="background1"/>
                <w:sz w:val="18"/>
                <w:szCs w:val="21"/>
              </w:rPr>
              <w:t>5</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46D2DAB8"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160D0">
              <w:rPr>
                <w:rFonts w:ascii="Arial" w:hAnsi="Arial" w:cs="Arial"/>
                <w:b/>
                <w:bCs/>
                <w:color w:val="FFFFFF" w:themeColor="background1"/>
                <w:sz w:val="18"/>
                <w:szCs w:val="21"/>
              </w:rPr>
              <w:t>4</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221DA774"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160D0">
              <w:rPr>
                <w:rFonts w:ascii="Arial" w:hAnsi="Arial" w:cs="Arial"/>
                <w:b/>
                <w:bCs/>
                <w:color w:val="FFFFFF" w:themeColor="background1"/>
                <w:sz w:val="18"/>
                <w:szCs w:val="21"/>
              </w:rPr>
              <w:t>3</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66ADC21D"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160D0">
              <w:rPr>
                <w:rFonts w:ascii="Arial" w:hAnsi="Arial" w:cs="Arial"/>
                <w:b/>
                <w:bCs/>
                <w:color w:val="FFFFFF" w:themeColor="background1"/>
                <w:sz w:val="18"/>
                <w:szCs w:val="21"/>
              </w:rPr>
              <w:t>2</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32FCBC7C"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160D0">
              <w:rPr>
                <w:rFonts w:ascii="Arial" w:hAnsi="Arial" w:cs="Arial"/>
                <w:b/>
                <w:bCs/>
                <w:color w:val="FFFFFF" w:themeColor="background1"/>
                <w:sz w:val="18"/>
                <w:szCs w:val="21"/>
              </w:rPr>
              <w:t>1</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24D7B4BE"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160D0">
              <w:rPr>
                <w:rFonts w:ascii="Arial" w:hAnsi="Arial" w:cs="Arial"/>
                <w:b/>
                <w:bCs/>
                <w:color w:val="FFFFFF" w:themeColor="background1"/>
                <w:sz w:val="18"/>
                <w:szCs w:val="21"/>
              </w:rPr>
              <w:t>0</w:t>
            </w:r>
          </w:p>
        </w:tc>
      </w:tr>
      <w:tr w:rsidR="005731AA" w:rsidRPr="006160D0" w14:paraId="6E76F23C" w14:textId="77777777" w:rsidTr="007147A1">
        <w:trPr>
          <w:trHeight w:val="513"/>
        </w:trPr>
        <w:tc>
          <w:tcPr>
            <w:tcW w:w="1277" w:type="dxa"/>
            <w:tcBorders>
              <w:top w:val="nil"/>
              <w:left w:val="single" w:sz="8" w:space="0" w:color="auto"/>
              <w:bottom w:val="single" w:sz="8" w:space="0" w:color="auto"/>
              <w:right w:val="single" w:sz="8" w:space="0" w:color="auto"/>
            </w:tcBorders>
            <w:shd w:val="clear" w:color="auto" w:fill="auto"/>
            <w:noWrap/>
            <w:vAlign w:val="center"/>
          </w:tcPr>
          <w:p w14:paraId="13FEF513"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color w:val="000000"/>
                <w:sz w:val="18"/>
                <w:szCs w:val="21"/>
              </w:rPr>
            </w:pPr>
            <w:r>
              <w:rPr>
                <w:rFonts w:ascii="Arial" w:hAnsi="Arial" w:cs="Arial"/>
                <w:color w:val="000000"/>
                <w:sz w:val="18"/>
                <w:szCs w:val="21"/>
              </w:rPr>
              <w:t>Balanced Growth Fund</w:t>
            </w:r>
          </w:p>
        </w:tc>
        <w:tc>
          <w:tcPr>
            <w:tcW w:w="833" w:type="dxa"/>
            <w:tcBorders>
              <w:top w:val="nil"/>
              <w:left w:val="nil"/>
              <w:bottom w:val="single" w:sz="8" w:space="0" w:color="auto"/>
              <w:right w:val="single" w:sz="8" w:space="0" w:color="auto"/>
            </w:tcBorders>
            <w:shd w:val="clear" w:color="auto" w:fill="auto"/>
            <w:noWrap/>
            <w:vAlign w:val="center"/>
          </w:tcPr>
          <w:p w14:paraId="370C8969"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color w:val="000000"/>
                <w:sz w:val="18"/>
                <w:szCs w:val="21"/>
              </w:rPr>
            </w:pPr>
            <w:r>
              <w:rPr>
                <w:rFonts w:ascii="Arial" w:hAnsi="Arial" w:cs="Arial"/>
                <w:color w:val="000000"/>
                <w:sz w:val="18"/>
                <w:szCs w:val="21"/>
              </w:rPr>
              <w:t>100%</w:t>
            </w:r>
          </w:p>
        </w:tc>
        <w:tc>
          <w:tcPr>
            <w:tcW w:w="777" w:type="dxa"/>
            <w:tcBorders>
              <w:top w:val="nil"/>
              <w:left w:val="nil"/>
              <w:bottom w:val="single" w:sz="8" w:space="0" w:color="auto"/>
              <w:right w:val="single" w:sz="8" w:space="0" w:color="auto"/>
            </w:tcBorders>
            <w:shd w:val="clear" w:color="auto" w:fill="auto"/>
            <w:vAlign w:val="center"/>
          </w:tcPr>
          <w:p w14:paraId="770051C4" w14:textId="77777777" w:rsidR="005731AA" w:rsidRPr="006160D0" w:rsidRDefault="005731AA" w:rsidP="007147A1">
            <w:pPr>
              <w:spacing w:line="240" w:lineRule="auto"/>
              <w:jc w:val="center"/>
              <w:rPr>
                <w:rFonts w:ascii="Arial" w:hAnsi="Arial" w:cs="Arial"/>
                <w:sz w:val="18"/>
                <w:szCs w:val="21"/>
              </w:rPr>
            </w:pPr>
            <w:r>
              <w:rPr>
                <w:rFonts w:ascii="Arial" w:hAnsi="Arial" w:cs="Arial"/>
                <w:sz w:val="18"/>
                <w:szCs w:val="21"/>
              </w:rPr>
              <w:t>95%</w:t>
            </w:r>
          </w:p>
        </w:tc>
        <w:tc>
          <w:tcPr>
            <w:tcW w:w="777" w:type="dxa"/>
            <w:tcBorders>
              <w:top w:val="nil"/>
              <w:left w:val="nil"/>
              <w:bottom w:val="single" w:sz="8" w:space="0" w:color="auto"/>
              <w:right w:val="single" w:sz="8" w:space="0" w:color="auto"/>
            </w:tcBorders>
            <w:shd w:val="clear" w:color="auto" w:fill="auto"/>
            <w:vAlign w:val="center"/>
          </w:tcPr>
          <w:p w14:paraId="624DB720"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color w:val="000000"/>
                <w:sz w:val="18"/>
                <w:szCs w:val="21"/>
              </w:rPr>
            </w:pPr>
            <w:r>
              <w:rPr>
                <w:rFonts w:ascii="Arial" w:hAnsi="Arial" w:cs="Arial"/>
                <w:color w:val="000000"/>
                <w:sz w:val="18"/>
                <w:szCs w:val="21"/>
              </w:rPr>
              <w:t>90%</w:t>
            </w:r>
          </w:p>
        </w:tc>
        <w:tc>
          <w:tcPr>
            <w:tcW w:w="777" w:type="dxa"/>
            <w:tcBorders>
              <w:top w:val="nil"/>
              <w:left w:val="nil"/>
              <w:bottom w:val="single" w:sz="8" w:space="0" w:color="auto"/>
              <w:right w:val="single" w:sz="8" w:space="0" w:color="auto"/>
            </w:tcBorders>
            <w:vAlign w:val="center"/>
          </w:tcPr>
          <w:p w14:paraId="5A772841"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85%</w:t>
            </w:r>
          </w:p>
        </w:tc>
        <w:tc>
          <w:tcPr>
            <w:tcW w:w="777" w:type="dxa"/>
            <w:tcBorders>
              <w:top w:val="nil"/>
              <w:left w:val="nil"/>
              <w:bottom w:val="single" w:sz="8" w:space="0" w:color="auto"/>
              <w:right w:val="single" w:sz="8" w:space="0" w:color="auto"/>
            </w:tcBorders>
            <w:vAlign w:val="center"/>
          </w:tcPr>
          <w:p w14:paraId="28503974"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80%</w:t>
            </w:r>
          </w:p>
        </w:tc>
        <w:tc>
          <w:tcPr>
            <w:tcW w:w="777" w:type="dxa"/>
            <w:tcBorders>
              <w:top w:val="nil"/>
              <w:left w:val="nil"/>
              <w:bottom w:val="single" w:sz="8" w:space="0" w:color="auto"/>
              <w:right w:val="single" w:sz="8" w:space="0" w:color="auto"/>
            </w:tcBorders>
            <w:vAlign w:val="center"/>
          </w:tcPr>
          <w:p w14:paraId="28B8E9F0"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75%</w:t>
            </w:r>
          </w:p>
        </w:tc>
        <w:tc>
          <w:tcPr>
            <w:tcW w:w="777" w:type="dxa"/>
            <w:tcBorders>
              <w:top w:val="nil"/>
              <w:left w:val="nil"/>
              <w:bottom w:val="single" w:sz="8" w:space="0" w:color="auto"/>
              <w:right w:val="single" w:sz="8" w:space="0" w:color="auto"/>
            </w:tcBorders>
            <w:vAlign w:val="center"/>
          </w:tcPr>
          <w:p w14:paraId="58F36B03"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63%</w:t>
            </w:r>
          </w:p>
        </w:tc>
        <w:tc>
          <w:tcPr>
            <w:tcW w:w="777" w:type="dxa"/>
            <w:tcBorders>
              <w:top w:val="nil"/>
              <w:left w:val="nil"/>
              <w:bottom w:val="single" w:sz="8" w:space="0" w:color="auto"/>
              <w:right w:val="single" w:sz="8" w:space="0" w:color="auto"/>
            </w:tcBorders>
            <w:vAlign w:val="center"/>
          </w:tcPr>
          <w:p w14:paraId="0D5D2F3B"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51%</w:t>
            </w:r>
          </w:p>
        </w:tc>
        <w:tc>
          <w:tcPr>
            <w:tcW w:w="777" w:type="dxa"/>
            <w:tcBorders>
              <w:top w:val="nil"/>
              <w:left w:val="nil"/>
              <w:bottom w:val="single" w:sz="8" w:space="0" w:color="auto"/>
              <w:right w:val="single" w:sz="8" w:space="0" w:color="auto"/>
            </w:tcBorders>
            <w:vAlign w:val="center"/>
          </w:tcPr>
          <w:p w14:paraId="4AE99571"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39%</w:t>
            </w:r>
          </w:p>
        </w:tc>
        <w:tc>
          <w:tcPr>
            <w:tcW w:w="777" w:type="dxa"/>
            <w:tcBorders>
              <w:top w:val="nil"/>
              <w:left w:val="nil"/>
              <w:bottom w:val="single" w:sz="8" w:space="0" w:color="auto"/>
              <w:right w:val="single" w:sz="8" w:space="0" w:color="auto"/>
            </w:tcBorders>
            <w:vAlign w:val="center"/>
          </w:tcPr>
          <w:p w14:paraId="7E16F3ED"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27%</w:t>
            </w:r>
          </w:p>
        </w:tc>
        <w:tc>
          <w:tcPr>
            <w:tcW w:w="777" w:type="dxa"/>
            <w:tcBorders>
              <w:top w:val="nil"/>
              <w:left w:val="nil"/>
              <w:bottom w:val="single" w:sz="8" w:space="0" w:color="auto"/>
              <w:right w:val="single" w:sz="8" w:space="0" w:color="auto"/>
            </w:tcBorders>
            <w:vAlign w:val="center"/>
          </w:tcPr>
          <w:p w14:paraId="5198D02B"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15%</w:t>
            </w:r>
          </w:p>
        </w:tc>
      </w:tr>
      <w:tr w:rsidR="005731AA" w:rsidRPr="006160D0" w14:paraId="3413E1AD" w14:textId="77777777" w:rsidTr="007147A1">
        <w:trPr>
          <w:trHeight w:val="563"/>
        </w:trPr>
        <w:tc>
          <w:tcPr>
            <w:tcW w:w="127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437E839" w14:textId="77777777" w:rsidR="005731AA" w:rsidRDefault="005731AA" w:rsidP="007147A1">
            <w:pPr>
              <w:tabs>
                <w:tab w:val="clear" w:pos="907"/>
                <w:tab w:val="clear" w:pos="9185"/>
                <w:tab w:val="left" w:pos="2113"/>
              </w:tabs>
              <w:jc w:val="center"/>
              <w:rPr>
                <w:rFonts w:ascii="Arial" w:hAnsi="Arial" w:cs="Arial"/>
                <w:sz w:val="18"/>
                <w:szCs w:val="21"/>
              </w:rPr>
            </w:pPr>
            <w:r>
              <w:rPr>
                <w:rFonts w:ascii="Arial" w:hAnsi="Arial" w:cs="Arial"/>
                <w:sz w:val="18"/>
                <w:szCs w:val="21"/>
              </w:rPr>
              <w:t>L&amp;G Cash Fund</w:t>
            </w:r>
          </w:p>
        </w:tc>
        <w:tc>
          <w:tcPr>
            <w:tcW w:w="833" w:type="dxa"/>
            <w:tcBorders>
              <w:top w:val="single" w:sz="4" w:space="0" w:color="auto"/>
              <w:left w:val="nil"/>
              <w:bottom w:val="single" w:sz="4" w:space="0" w:color="auto"/>
              <w:right w:val="single" w:sz="8" w:space="0" w:color="auto"/>
            </w:tcBorders>
            <w:shd w:val="clear" w:color="auto" w:fill="auto"/>
            <w:noWrap/>
            <w:vAlign w:val="center"/>
          </w:tcPr>
          <w:p w14:paraId="4FD4B96F" w14:textId="77777777" w:rsidR="005731AA" w:rsidRDefault="005731AA" w:rsidP="007147A1">
            <w:pPr>
              <w:suppressLineNumbers w:val="0"/>
              <w:tabs>
                <w:tab w:val="clear" w:pos="907"/>
                <w:tab w:val="clear" w:pos="9185"/>
              </w:tabs>
              <w:suppressAutoHyphens w:val="0"/>
              <w:spacing w:line="240" w:lineRule="auto"/>
              <w:jc w:val="center"/>
              <w:rPr>
                <w:rFonts w:ascii="Arial" w:hAnsi="Arial" w:cs="Arial"/>
                <w:color w:val="000000"/>
                <w:sz w:val="18"/>
                <w:szCs w:val="21"/>
              </w:rPr>
            </w:pPr>
            <w:r>
              <w:rPr>
                <w:rFonts w:ascii="Arial" w:hAnsi="Arial" w:cs="Arial"/>
                <w:color w:val="000000"/>
                <w:sz w:val="18"/>
                <w:szCs w:val="21"/>
              </w:rPr>
              <w:t>0%</w:t>
            </w:r>
          </w:p>
        </w:tc>
        <w:tc>
          <w:tcPr>
            <w:tcW w:w="777" w:type="dxa"/>
            <w:tcBorders>
              <w:top w:val="single" w:sz="4" w:space="0" w:color="auto"/>
              <w:left w:val="nil"/>
              <w:bottom w:val="single" w:sz="4" w:space="0" w:color="auto"/>
              <w:right w:val="single" w:sz="8" w:space="0" w:color="auto"/>
            </w:tcBorders>
            <w:shd w:val="clear" w:color="auto" w:fill="auto"/>
            <w:vAlign w:val="center"/>
          </w:tcPr>
          <w:p w14:paraId="2EDAB24A" w14:textId="77777777" w:rsidR="005731AA" w:rsidRDefault="005731AA" w:rsidP="007147A1">
            <w:pPr>
              <w:tabs>
                <w:tab w:val="left" w:pos="6300"/>
              </w:tabs>
              <w:spacing w:line="240" w:lineRule="auto"/>
              <w:ind w:right="58"/>
              <w:jc w:val="center"/>
              <w:rPr>
                <w:rFonts w:ascii="Arial" w:hAnsi="Arial" w:cs="Arial"/>
                <w:sz w:val="18"/>
                <w:szCs w:val="21"/>
              </w:rPr>
            </w:pPr>
            <w:r>
              <w:rPr>
                <w:rFonts w:ascii="Arial" w:hAnsi="Arial" w:cs="Arial"/>
                <w:sz w:val="18"/>
                <w:szCs w:val="21"/>
              </w:rPr>
              <w:t>5%</w:t>
            </w:r>
          </w:p>
        </w:tc>
        <w:tc>
          <w:tcPr>
            <w:tcW w:w="777" w:type="dxa"/>
            <w:tcBorders>
              <w:top w:val="single" w:sz="4" w:space="0" w:color="auto"/>
              <w:left w:val="nil"/>
              <w:bottom w:val="single" w:sz="4" w:space="0" w:color="auto"/>
              <w:right w:val="single" w:sz="8" w:space="0" w:color="auto"/>
            </w:tcBorders>
            <w:shd w:val="clear" w:color="auto" w:fill="auto"/>
            <w:vAlign w:val="center"/>
          </w:tcPr>
          <w:p w14:paraId="16F687FE" w14:textId="77777777" w:rsidR="005731AA" w:rsidRDefault="005731AA" w:rsidP="007147A1">
            <w:pPr>
              <w:suppressLineNumbers w:val="0"/>
              <w:tabs>
                <w:tab w:val="clear" w:pos="907"/>
                <w:tab w:val="clear" w:pos="9185"/>
              </w:tabs>
              <w:suppressAutoHyphens w:val="0"/>
              <w:spacing w:line="240" w:lineRule="auto"/>
              <w:jc w:val="center"/>
              <w:rPr>
                <w:rFonts w:ascii="Arial" w:hAnsi="Arial" w:cs="Arial"/>
                <w:color w:val="000000"/>
                <w:sz w:val="18"/>
                <w:szCs w:val="21"/>
              </w:rPr>
            </w:pPr>
            <w:r>
              <w:rPr>
                <w:rFonts w:ascii="Arial" w:hAnsi="Arial" w:cs="Arial"/>
                <w:color w:val="000000"/>
                <w:sz w:val="18"/>
                <w:szCs w:val="21"/>
              </w:rPr>
              <w:t>10%</w:t>
            </w:r>
          </w:p>
        </w:tc>
        <w:tc>
          <w:tcPr>
            <w:tcW w:w="777" w:type="dxa"/>
            <w:tcBorders>
              <w:top w:val="single" w:sz="4" w:space="0" w:color="auto"/>
              <w:left w:val="nil"/>
              <w:bottom w:val="single" w:sz="4" w:space="0" w:color="auto"/>
              <w:right w:val="single" w:sz="8" w:space="0" w:color="auto"/>
            </w:tcBorders>
            <w:vAlign w:val="center"/>
          </w:tcPr>
          <w:p w14:paraId="0ACBDD37" w14:textId="77777777" w:rsidR="005731AA"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15%</w:t>
            </w:r>
          </w:p>
        </w:tc>
        <w:tc>
          <w:tcPr>
            <w:tcW w:w="777" w:type="dxa"/>
            <w:tcBorders>
              <w:top w:val="single" w:sz="4" w:space="0" w:color="auto"/>
              <w:left w:val="nil"/>
              <w:bottom w:val="single" w:sz="4" w:space="0" w:color="auto"/>
              <w:right w:val="single" w:sz="8" w:space="0" w:color="auto"/>
            </w:tcBorders>
            <w:vAlign w:val="center"/>
          </w:tcPr>
          <w:p w14:paraId="49F23476" w14:textId="77777777" w:rsidR="005731AA"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20%</w:t>
            </w:r>
          </w:p>
        </w:tc>
        <w:tc>
          <w:tcPr>
            <w:tcW w:w="777" w:type="dxa"/>
            <w:tcBorders>
              <w:top w:val="single" w:sz="4" w:space="0" w:color="auto"/>
              <w:left w:val="nil"/>
              <w:bottom w:val="single" w:sz="4" w:space="0" w:color="auto"/>
              <w:right w:val="single" w:sz="8" w:space="0" w:color="auto"/>
            </w:tcBorders>
            <w:vAlign w:val="center"/>
          </w:tcPr>
          <w:p w14:paraId="6BD37685" w14:textId="77777777" w:rsidR="005731AA"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25%</w:t>
            </w:r>
          </w:p>
        </w:tc>
        <w:tc>
          <w:tcPr>
            <w:tcW w:w="777" w:type="dxa"/>
            <w:tcBorders>
              <w:top w:val="single" w:sz="4" w:space="0" w:color="auto"/>
              <w:left w:val="nil"/>
              <w:bottom w:val="single" w:sz="4" w:space="0" w:color="auto"/>
              <w:right w:val="single" w:sz="8" w:space="0" w:color="auto"/>
            </w:tcBorders>
            <w:vAlign w:val="center"/>
          </w:tcPr>
          <w:p w14:paraId="2A76BC7C" w14:textId="77777777" w:rsidR="005731AA"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37%</w:t>
            </w:r>
          </w:p>
        </w:tc>
        <w:tc>
          <w:tcPr>
            <w:tcW w:w="777" w:type="dxa"/>
            <w:tcBorders>
              <w:top w:val="single" w:sz="4" w:space="0" w:color="auto"/>
              <w:left w:val="nil"/>
              <w:bottom w:val="single" w:sz="4" w:space="0" w:color="auto"/>
              <w:right w:val="single" w:sz="8" w:space="0" w:color="auto"/>
            </w:tcBorders>
            <w:vAlign w:val="center"/>
          </w:tcPr>
          <w:p w14:paraId="2829B7BE" w14:textId="77777777" w:rsidR="005731AA"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49%</w:t>
            </w:r>
          </w:p>
        </w:tc>
        <w:tc>
          <w:tcPr>
            <w:tcW w:w="777" w:type="dxa"/>
            <w:tcBorders>
              <w:top w:val="single" w:sz="4" w:space="0" w:color="auto"/>
              <w:left w:val="nil"/>
              <w:bottom w:val="single" w:sz="4" w:space="0" w:color="auto"/>
              <w:right w:val="single" w:sz="8" w:space="0" w:color="auto"/>
            </w:tcBorders>
            <w:vAlign w:val="center"/>
          </w:tcPr>
          <w:p w14:paraId="637AAD91" w14:textId="77777777" w:rsidR="005731AA"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61%</w:t>
            </w:r>
          </w:p>
        </w:tc>
        <w:tc>
          <w:tcPr>
            <w:tcW w:w="777" w:type="dxa"/>
            <w:tcBorders>
              <w:top w:val="single" w:sz="4" w:space="0" w:color="auto"/>
              <w:left w:val="nil"/>
              <w:bottom w:val="single" w:sz="4" w:space="0" w:color="auto"/>
              <w:right w:val="single" w:sz="8" w:space="0" w:color="auto"/>
            </w:tcBorders>
            <w:vAlign w:val="center"/>
          </w:tcPr>
          <w:p w14:paraId="746180B2" w14:textId="77777777" w:rsidR="005731AA"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73%</w:t>
            </w:r>
          </w:p>
        </w:tc>
        <w:tc>
          <w:tcPr>
            <w:tcW w:w="777" w:type="dxa"/>
            <w:tcBorders>
              <w:top w:val="single" w:sz="4" w:space="0" w:color="auto"/>
              <w:left w:val="nil"/>
              <w:bottom w:val="single" w:sz="4" w:space="0" w:color="auto"/>
              <w:right w:val="single" w:sz="8" w:space="0" w:color="auto"/>
            </w:tcBorders>
            <w:vAlign w:val="center"/>
          </w:tcPr>
          <w:p w14:paraId="5B931184"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85%</w:t>
            </w:r>
          </w:p>
        </w:tc>
      </w:tr>
      <w:tr w:rsidR="005731AA" w:rsidRPr="006160D0" w14:paraId="605EAE24" w14:textId="77777777" w:rsidTr="007147A1">
        <w:trPr>
          <w:trHeight w:val="776"/>
        </w:trPr>
        <w:tc>
          <w:tcPr>
            <w:tcW w:w="127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9C572D3" w14:textId="77777777" w:rsidR="005731AA" w:rsidRDefault="005731AA" w:rsidP="007147A1">
            <w:pPr>
              <w:tabs>
                <w:tab w:val="clear" w:pos="907"/>
                <w:tab w:val="clear" w:pos="9185"/>
                <w:tab w:val="left" w:pos="2113"/>
              </w:tabs>
              <w:jc w:val="center"/>
              <w:rPr>
                <w:rFonts w:ascii="Arial" w:hAnsi="Arial" w:cs="Arial"/>
                <w:sz w:val="18"/>
                <w:szCs w:val="21"/>
              </w:rPr>
            </w:pPr>
            <w:r>
              <w:rPr>
                <w:rFonts w:ascii="Arial" w:hAnsi="Arial" w:cs="Arial"/>
                <w:sz w:val="18"/>
                <w:szCs w:val="21"/>
              </w:rPr>
              <w:t>Total</w:t>
            </w:r>
          </w:p>
        </w:tc>
        <w:tc>
          <w:tcPr>
            <w:tcW w:w="833" w:type="dxa"/>
            <w:tcBorders>
              <w:top w:val="single" w:sz="4" w:space="0" w:color="auto"/>
              <w:left w:val="nil"/>
              <w:bottom w:val="single" w:sz="4" w:space="0" w:color="auto"/>
              <w:right w:val="single" w:sz="8" w:space="0" w:color="auto"/>
            </w:tcBorders>
            <w:shd w:val="clear" w:color="auto" w:fill="auto"/>
            <w:noWrap/>
            <w:vAlign w:val="center"/>
          </w:tcPr>
          <w:p w14:paraId="26D305B6" w14:textId="77777777" w:rsidR="005731AA" w:rsidRDefault="005731AA" w:rsidP="007147A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100%</w:t>
            </w:r>
          </w:p>
        </w:tc>
        <w:tc>
          <w:tcPr>
            <w:tcW w:w="777" w:type="dxa"/>
            <w:tcBorders>
              <w:top w:val="single" w:sz="4" w:space="0" w:color="auto"/>
              <w:left w:val="nil"/>
              <w:bottom w:val="single" w:sz="4" w:space="0" w:color="auto"/>
              <w:right w:val="single" w:sz="8" w:space="0" w:color="auto"/>
            </w:tcBorders>
            <w:shd w:val="clear" w:color="auto" w:fill="auto"/>
            <w:vAlign w:val="center"/>
          </w:tcPr>
          <w:p w14:paraId="088ED0BE" w14:textId="77777777" w:rsidR="005731AA" w:rsidRDefault="005731AA" w:rsidP="007147A1">
            <w:pPr>
              <w:tabs>
                <w:tab w:val="left" w:pos="6300"/>
              </w:tabs>
              <w:spacing w:line="240" w:lineRule="auto"/>
              <w:ind w:right="58"/>
              <w:jc w:val="center"/>
              <w:rPr>
                <w:rFonts w:ascii="Arial" w:hAnsi="Arial" w:cs="Arial"/>
                <w:sz w:val="18"/>
                <w:szCs w:val="21"/>
              </w:rPr>
            </w:pPr>
            <w:r w:rsidRPr="006160D0">
              <w:rPr>
                <w:rFonts w:ascii="Arial" w:hAnsi="Arial" w:cs="Arial"/>
                <w:color w:val="000000"/>
                <w:sz w:val="18"/>
                <w:szCs w:val="21"/>
              </w:rPr>
              <w:t>100%</w:t>
            </w:r>
          </w:p>
        </w:tc>
        <w:tc>
          <w:tcPr>
            <w:tcW w:w="777" w:type="dxa"/>
            <w:tcBorders>
              <w:top w:val="single" w:sz="4" w:space="0" w:color="auto"/>
              <w:left w:val="nil"/>
              <w:bottom w:val="single" w:sz="4" w:space="0" w:color="auto"/>
              <w:right w:val="single" w:sz="8" w:space="0" w:color="auto"/>
            </w:tcBorders>
            <w:shd w:val="clear" w:color="auto" w:fill="auto"/>
            <w:vAlign w:val="center"/>
          </w:tcPr>
          <w:p w14:paraId="69EAB049"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100%</w:t>
            </w:r>
          </w:p>
        </w:tc>
        <w:tc>
          <w:tcPr>
            <w:tcW w:w="777" w:type="dxa"/>
            <w:tcBorders>
              <w:top w:val="single" w:sz="4" w:space="0" w:color="auto"/>
              <w:left w:val="nil"/>
              <w:bottom w:val="single" w:sz="4" w:space="0" w:color="auto"/>
              <w:right w:val="single" w:sz="8" w:space="0" w:color="auto"/>
            </w:tcBorders>
            <w:vAlign w:val="center"/>
          </w:tcPr>
          <w:p w14:paraId="6B79C140"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100%</w:t>
            </w:r>
          </w:p>
        </w:tc>
        <w:tc>
          <w:tcPr>
            <w:tcW w:w="777" w:type="dxa"/>
            <w:tcBorders>
              <w:top w:val="single" w:sz="4" w:space="0" w:color="auto"/>
              <w:left w:val="nil"/>
              <w:bottom w:val="single" w:sz="4" w:space="0" w:color="auto"/>
              <w:right w:val="single" w:sz="8" w:space="0" w:color="auto"/>
            </w:tcBorders>
            <w:vAlign w:val="center"/>
          </w:tcPr>
          <w:p w14:paraId="38F7A132"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100%</w:t>
            </w:r>
          </w:p>
        </w:tc>
        <w:tc>
          <w:tcPr>
            <w:tcW w:w="777" w:type="dxa"/>
            <w:tcBorders>
              <w:top w:val="single" w:sz="4" w:space="0" w:color="auto"/>
              <w:left w:val="nil"/>
              <w:bottom w:val="single" w:sz="4" w:space="0" w:color="auto"/>
              <w:right w:val="single" w:sz="8" w:space="0" w:color="auto"/>
            </w:tcBorders>
            <w:vAlign w:val="center"/>
          </w:tcPr>
          <w:p w14:paraId="0EEFD934"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100%</w:t>
            </w:r>
          </w:p>
        </w:tc>
        <w:tc>
          <w:tcPr>
            <w:tcW w:w="777" w:type="dxa"/>
            <w:tcBorders>
              <w:top w:val="single" w:sz="4" w:space="0" w:color="auto"/>
              <w:left w:val="nil"/>
              <w:bottom w:val="single" w:sz="4" w:space="0" w:color="auto"/>
              <w:right w:val="single" w:sz="8" w:space="0" w:color="auto"/>
            </w:tcBorders>
            <w:vAlign w:val="center"/>
          </w:tcPr>
          <w:p w14:paraId="226C51CC" w14:textId="77777777" w:rsidR="005731AA"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sidRPr="006160D0">
              <w:rPr>
                <w:rFonts w:ascii="Arial" w:hAnsi="Arial" w:cs="Arial"/>
                <w:color w:val="000000"/>
                <w:sz w:val="18"/>
                <w:szCs w:val="21"/>
              </w:rPr>
              <w:t>100%</w:t>
            </w:r>
          </w:p>
        </w:tc>
        <w:tc>
          <w:tcPr>
            <w:tcW w:w="777" w:type="dxa"/>
            <w:tcBorders>
              <w:top w:val="single" w:sz="4" w:space="0" w:color="auto"/>
              <w:left w:val="nil"/>
              <w:bottom w:val="single" w:sz="4" w:space="0" w:color="auto"/>
              <w:right w:val="single" w:sz="8" w:space="0" w:color="auto"/>
            </w:tcBorders>
            <w:vAlign w:val="center"/>
          </w:tcPr>
          <w:p w14:paraId="308AB18A" w14:textId="77777777" w:rsidR="005731AA"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sidRPr="006160D0">
              <w:rPr>
                <w:rFonts w:ascii="Arial" w:hAnsi="Arial" w:cs="Arial"/>
                <w:color w:val="000000"/>
                <w:sz w:val="18"/>
                <w:szCs w:val="21"/>
              </w:rPr>
              <w:t>100%</w:t>
            </w:r>
          </w:p>
        </w:tc>
        <w:tc>
          <w:tcPr>
            <w:tcW w:w="777" w:type="dxa"/>
            <w:tcBorders>
              <w:top w:val="single" w:sz="4" w:space="0" w:color="auto"/>
              <w:left w:val="nil"/>
              <w:bottom w:val="single" w:sz="4" w:space="0" w:color="auto"/>
              <w:right w:val="single" w:sz="8" w:space="0" w:color="auto"/>
            </w:tcBorders>
            <w:vAlign w:val="center"/>
          </w:tcPr>
          <w:p w14:paraId="53C9B7F9" w14:textId="77777777" w:rsidR="005731AA"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sidRPr="006160D0">
              <w:rPr>
                <w:rFonts w:ascii="Arial" w:hAnsi="Arial" w:cs="Arial"/>
                <w:color w:val="000000"/>
                <w:sz w:val="18"/>
                <w:szCs w:val="21"/>
              </w:rPr>
              <w:t>100%</w:t>
            </w:r>
          </w:p>
        </w:tc>
        <w:tc>
          <w:tcPr>
            <w:tcW w:w="777" w:type="dxa"/>
            <w:tcBorders>
              <w:top w:val="single" w:sz="4" w:space="0" w:color="auto"/>
              <w:left w:val="nil"/>
              <w:bottom w:val="single" w:sz="4" w:space="0" w:color="auto"/>
              <w:right w:val="single" w:sz="8" w:space="0" w:color="auto"/>
            </w:tcBorders>
            <w:vAlign w:val="center"/>
          </w:tcPr>
          <w:p w14:paraId="7CA3B82D" w14:textId="77777777" w:rsidR="005731AA"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sidRPr="006160D0">
              <w:rPr>
                <w:rFonts w:ascii="Arial" w:hAnsi="Arial" w:cs="Arial"/>
                <w:color w:val="000000"/>
                <w:sz w:val="18"/>
                <w:szCs w:val="21"/>
              </w:rPr>
              <w:t>100%</w:t>
            </w:r>
          </w:p>
        </w:tc>
        <w:tc>
          <w:tcPr>
            <w:tcW w:w="777" w:type="dxa"/>
            <w:tcBorders>
              <w:top w:val="single" w:sz="4" w:space="0" w:color="auto"/>
              <w:left w:val="nil"/>
              <w:bottom w:val="single" w:sz="4" w:space="0" w:color="auto"/>
              <w:right w:val="single" w:sz="8" w:space="0" w:color="auto"/>
            </w:tcBorders>
            <w:vAlign w:val="center"/>
          </w:tcPr>
          <w:p w14:paraId="2FDD85B1" w14:textId="77777777" w:rsidR="005731AA"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sidRPr="006160D0">
              <w:rPr>
                <w:rFonts w:ascii="Arial" w:hAnsi="Arial" w:cs="Arial"/>
                <w:color w:val="000000"/>
                <w:sz w:val="18"/>
                <w:szCs w:val="21"/>
              </w:rPr>
              <w:t>100%</w:t>
            </w:r>
          </w:p>
        </w:tc>
      </w:tr>
    </w:tbl>
    <w:p w14:paraId="2B4B88ED" w14:textId="77777777" w:rsidR="005731AA" w:rsidRDefault="005731AA" w:rsidP="005731AA"/>
    <w:p w14:paraId="0BD0AA84" w14:textId="77777777" w:rsidR="005731AA" w:rsidRPr="001A596C" w:rsidRDefault="005731AA" w:rsidP="005731AA">
      <w:pPr>
        <w:spacing w:after="120"/>
        <w:rPr>
          <w:rFonts w:ascii="Arial" w:hAnsi="Arial" w:cs="Arial"/>
          <w:bCs/>
          <w:i/>
          <w:sz w:val="22"/>
        </w:rPr>
      </w:pPr>
      <w:r>
        <w:rPr>
          <w:rFonts w:ascii="Arial" w:hAnsi="Arial" w:cs="Arial"/>
          <w:bCs/>
          <w:i/>
          <w:sz w:val="22"/>
        </w:rPr>
        <w:t>The Balanced Growth – Drawdown Lifestyle</w:t>
      </w:r>
    </w:p>
    <w:tbl>
      <w:tblPr>
        <w:tblW w:w="9880" w:type="dxa"/>
        <w:tblInd w:w="-10" w:type="dxa"/>
        <w:tblLayout w:type="fixed"/>
        <w:tblLook w:val="04A0" w:firstRow="1" w:lastRow="0" w:firstColumn="1" w:lastColumn="0" w:noHBand="0" w:noVBand="1"/>
      </w:tblPr>
      <w:tblGrid>
        <w:gridCol w:w="1277"/>
        <w:gridCol w:w="833"/>
        <w:gridCol w:w="777"/>
        <w:gridCol w:w="777"/>
        <w:gridCol w:w="777"/>
        <w:gridCol w:w="777"/>
        <w:gridCol w:w="777"/>
        <w:gridCol w:w="777"/>
        <w:gridCol w:w="777"/>
        <w:gridCol w:w="777"/>
        <w:gridCol w:w="777"/>
        <w:gridCol w:w="777"/>
      </w:tblGrid>
      <w:tr w:rsidR="005731AA" w:rsidRPr="006160D0" w14:paraId="47BFA4BC" w14:textId="77777777" w:rsidTr="007147A1">
        <w:trPr>
          <w:trHeight w:val="765"/>
        </w:trPr>
        <w:tc>
          <w:tcPr>
            <w:tcW w:w="1277" w:type="dxa"/>
            <w:tcBorders>
              <w:top w:val="single" w:sz="8" w:space="0" w:color="auto"/>
              <w:left w:val="single" w:sz="8" w:space="0" w:color="auto"/>
              <w:bottom w:val="single" w:sz="8" w:space="0" w:color="auto"/>
              <w:right w:val="single" w:sz="8" w:space="0" w:color="auto"/>
            </w:tcBorders>
            <w:shd w:val="clear" w:color="auto" w:fill="8064A2" w:themeFill="accent4"/>
            <w:vAlign w:val="center"/>
            <w:hideMark/>
          </w:tcPr>
          <w:p w14:paraId="5F2A4931"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b/>
                <w:bCs/>
                <w:color w:val="FFFFFF"/>
                <w:sz w:val="18"/>
                <w:szCs w:val="21"/>
              </w:rPr>
            </w:pPr>
            <w:r w:rsidRPr="006160D0">
              <w:rPr>
                <w:rFonts w:ascii="Arial" w:hAnsi="Arial" w:cs="Arial"/>
                <w:b/>
                <w:bCs/>
                <w:color w:val="FFFFFF" w:themeColor="background1"/>
                <w:sz w:val="18"/>
                <w:szCs w:val="21"/>
              </w:rPr>
              <w:t xml:space="preserve">Fund / </w:t>
            </w:r>
            <w:proofErr w:type="spellStart"/>
            <w:r w:rsidRPr="006160D0">
              <w:rPr>
                <w:rFonts w:ascii="Arial" w:hAnsi="Arial" w:cs="Arial"/>
                <w:b/>
                <w:bCs/>
                <w:color w:val="FFFFFF" w:themeColor="background1"/>
                <w:sz w:val="18"/>
                <w:szCs w:val="21"/>
              </w:rPr>
              <w:t>Yrs</w:t>
            </w:r>
            <w:proofErr w:type="spellEnd"/>
            <w:r w:rsidRPr="006160D0">
              <w:rPr>
                <w:rFonts w:ascii="Arial" w:hAnsi="Arial" w:cs="Arial"/>
                <w:b/>
                <w:bCs/>
                <w:color w:val="FFFFFF" w:themeColor="background1"/>
                <w:sz w:val="18"/>
                <w:szCs w:val="21"/>
              </w:rPr>
              <w:t xml:space="preserve"> to Retirement</w:t>
            </w:r>
          </w:p>
        </w:tc>
        <w:tc>
          <w:tcPr>
            <w:tcW w:w="833" w:type="dxa"/>
            <w:tcBorders>
              <w:top w:val="single" w:sz="8" w:space="0" w:color="auto"/>
              <w:left w:val="nil"/>
              <w:bottom w:val="single" w:sz="8" w:space="0" w:color="auto"/>
              <w:right w:val="single" w:sz="8" w:space="0" w:color="auto"/>
            </w:tcBorders>
            <w:shd w:val="clear" w:color="auto" w:fill="8064A2" w:themeFill="accent4"/>
            <w:vAlign w:val="center"/>
            <w:hideMark/>
          </w:tcPr>
          <w:p w14:paraId="7446C253"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b/>
                <w:bCs/>
                <w:color w:val="FFFFFF"/>
                <w:sz w:val="18"/>
                <w:szCs w:val="21"/>
              </w:rPr>
            </w:pPr>
            <w:r w:rsidRPr="006160D0">
              <w:rPr>
                <w:rFonts w:ascii="Arial" w:hAnsi="Arial" w:cs="Arial"/>
                <w:b/>
                <w:bCs/>
                <w:color w:val="FFFFFF" w:themeColor="background1"/>
                <w:sz w:val="18"/>
                <w:szCs w:val="21"/>
              </w:rPr>
              <w:t>10 or more</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hideMark/>
          </w:tcPr>
          <w:p w14:paraId="5999EF13"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b/>
                <w:bCs/>
                <w:color w:val="FFFFFF"/>
                <w:sz w:val="18"/>
                <w:szCs w:val="21"/>
              </w:rPr>
            </w:pPr>
            <w:r w:rsidRPr="006160D0">
              <w:rPr>
                <w:rFonts w:ascii="Arial" w:hAnsi="Arial" w:cs="Arial"/>
                <w:b/>
                <w:bCs/>
                <w:color w:val="FFFFFF" w:themeColor="background1"/>
                <w:sz w:val="18"/>
                <w:szCs w:val="21"/>
              </w:rPr>
              <w:t>9</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hideMark/>
          </w:tcPr>
          <w:p w14:paraId="01758EBD"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b/>
                <w:bCs/>
                <w:color w:val="FFFFFF"/>
                <w:sz w:val="18"/>
                <w:szCs w:val="21"/>
              </w:rPr>
            </w:pPr>
            <w:r w:rsidRPr="006160D0">
              <w:rPr>
                <w:rFonts w:ascii="Arial" w:hAnsi="Arial" w:cs="Arial"/>
                <w:b/>
                <w:bCs/>
                <w:color w:val="FFFFFF" w:themeColor="background1"/>
                <w:sz w:val="18"/>
                <w:szCs w:val="21"/>
              </w:rPr>
              <w:t>8</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15F18C2E"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160D0">
              <w:rPr>
                <w:rFonts w:ascii="Arial" w:hAnsi="Arial" w:cs="Arial"/>
                <w:b/>
                <w:bCs/>
                <w:color w:val="FFFFFF" w:themeColor="background1"/>
                <w:sz w:val="18"/>
                <w:szCs w:val="21"/>
              </w:rPr>
              <w:t>7</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6E9B77EF"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160D0">
              <w:rPr>
                <w:rFonts w:ascii="Arial" w:hAnsi="Arial" w:cs="Arial"/>
                <w:b/>
                <w:bCs/>
                <w:color w:val="FFFFFF" w:themeColor="background1"/>
                <w:sz w:val="18"/>
                <w:szCs w:val="21"/>
              </w:rPr>
              <w:t>6</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5D54EC25"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160D0">
              <w:rPr>
                <w:rFonts w:ascii="Arial" w:hAnsi="Arial" w:cs="Arial"/>
                <w:b/>
                <w:bCs/>
                <w:color w:val="FFFFFF" w:themeColor="background1"/>
                <w:sz w:val="18"/>
                <w:szCs w:val="21"/>
              </w:rPr>
              <w:t>5</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1DF42148"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160D0">
              <w:rPr>
                <w:rFonts w:ascii="Arial" w:hAnsi="Arial" w:cs="Arial"/>
                <w:b/>
                <w:bCs/>
                <w:color w:val="FFFFFF" w:themeColor="background1"/>
                <w:sz w:val="18"/>
                <w:szCs w:val="21"/>
              </w:rPr>
              <w:t>4</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39AD98D4"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160D0">
              <w:rPr>
                <w:rFonts w:ascii="Arial" w:hAnsi="Arial" w:cs="Arial"/>
                <w:b/>
                <w:bCs/>
                <w:color w:val="FFFFFF" w:themeColor="background1"/>
                <w:sz w:val="18"/>
                <w:szCs w:val="21"/>
              </w:rPr>
              <w:t>3</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53CCD667"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160D0">
              <w:rPr>
                <w:rFonts w:ascii="Arial" w:hAnsi="Arial" w:cs="Arial"/>
                <w:b/>
                <w:bCs/>
                <w:color w:val="FFFFFF" w:themeColor="background1"/>
                <w:sz w:val="18"/>
                <w:szCs w:val="21"/>
              </w:rPr>
              <w:t>2</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744A2201"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160D0">
              <w:rPr>
                <w:rFonts w:ascii="Arial" w:hAnsi="Arial" w:cs="Arial"/>
                <w:b/>
                <w:bCs/>
                <w:color w:val="FFFFFF" w:themeColor="background1"/>
                <w:sz w:val="18"/>
                <w:szCs w:val="21"/>
              </w:rPr>
              <w:t>1</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5B07727A"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160D0">
              <w:rPr>
                <w:rFonts w:ascii="Arial" w:hAnsi="Arial" w:cs="Arial"/>
                <w:b/>
                <w:bCs/>
                <w:color w:val="FFFFFF" w:themeColor="background1"/>
                <w:sz w:val="18"/>
                <w:szCs w:val="21"/>
              </w:rPr>
              <w:t>0</w:t>
            </w:r>
          </w:p>
        </w:tc>
      </w:tr>
      <w:tr w:rsidR="005731AA" w:rsidRPr="006160D0" w14:paraId="66C19338" w14:textId="77777777" w:rsidTr="007147A1">
        <w:trPr>
          <w:trHeight w:val="513"/>
        </w:trPr>
        <w:tc>
          <w:tcPr>
            <w:tcW w:w="1277" w:type="dxa"/>
            <w:tcBorders>
              <w:top w:val="nil"/>
              <w:left w:val="single" w:sz="8" w:space="0" w:color="auto"/>
              <w:bottom w:val="single" w:sz="8" w:space="0" w:color="auto"/>
              <w:right w:val="single" w:sz="8" w:space="0" w:color="auto"/>
            </w:tcBorders>
            <w:shd w:val="clear" w:color="auto" w:fill="auto"/>
            <w:noWrap/>
            <w:vAlign w:val="center"/>
          </w:tcPr>
          <w:p w14:paraId="1E1FA826"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color w:val="000000"/>
                <w:sz w:val="18"/>
                <w:szCs w:val="21"/>
              </w:rPr>
            </w:pPr>
            <w:r>
              <w:rPr>
                <w:rFonts w:ascii="Arial" w:hAnsi="Arial" w:cs="Arial"/>
                <w:color w:val="000000"/>
                <w:sz w:val="18"/>
                <w:szCs w:val="21"/>
              </w:rPr>
              <w:t>Balanced Growth Fund</w:t>
            </w:r>
          </w:p>
        </w:tc>
        <w:tc>
          <w:tcPr>
            <w:tcW w:w="833" w:type="dxa"/>
            <w:tcBorders>
              <w:top w:val="nil"/>
              <w:left w:val="nil"/>
              <w:bottom w:val="single" w:sz="8" w:space="0" w:color="auto"/>
              <w:right w:val="single" w:sz="8" w:space="0" w:color="auto"/>
            </w:tcBorders>
            <w:shd w:val="clear" w:color="auto" w:fill="auto"/>
            <w:noWrap/>
            <w:vAlign w:val="center"/>
          </w:tcPr>
          <w:p w14:paraId="3F828A34"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color w:val="000000"/>
                <w:sz w:val="18"/>
                <w:szCs w:val="21"/>
              </w:rPr>
            </w:pPr>
            <w:r>
              <w:rPr>
                <w:rFonts w:ascii="Arial" w:hAnsi="Arial" w:cs="Arial"/>
                <w:color w:val="000000"/>
                <w:sz w:val="18"/>
                <w:szCs w:val="21"/>
              </w:rPr>
              <w:t>100%</w:t>
            </w:r>
          </w:p>
        </w:tc>
        <w:tc>
          <w:tcPr>
            <w:tcW w:w="777" w:type="dxa"/>
            <w:tcBorders>
              <w:top w:val="nil"/>
              <w:left w:val="nil"/>
              <w:bottom w:val="single" w:sz="8" w:space="0" w:color="auto"/>
              <w:right w:val="single" w:sz="8" w:space="0" w:color="auto"/>
            </w:tcBorders>
            <w:shd w:val="clear" w:color="auto" w:fill="auto"/>
            <w:vAlign w:val="center"/>
          </w:tcPr>
          <w:p w14:paraId="0DFCC2E9" w14:textId="77777777" w:rsidR="005731AA" w:rsidRPr="006160D0" w:rsidRDefault="005731AA" w:rsidP="007147A1">
            <w:pPr>
              <w:spacing w:line="240" w:lineRule="auto"/>
              <w:jc w:val="center"/>
              <w:rPr>
                <w:rFonts w:ascii="Arial" w:hAnsi="Arial" w:cs="Arial"/>
                <w:sz w:val="18"/>
                <w:szCs w:val="21"/>
              </w:rPr>
            </w:pPr>
            <w:r>
              <w:rPr>
                <w:rFonts w:ascii="Arial" w:hAnsi="Arial" w:cs="Arial"/>
                <w:sz w:val="18"/>
                <w:szCs w:val="21"/>
              </w:rPr>
              <w:t>96%</w:t>
            </w:r>
          </w:p>
        </w:tc>
        <w:tc>
          <w:tcPr>
            <w:tcW w:w="777" w:type="dxa"/>
            <w:tcBorders>
              <w:top w:val="nil"/>
              <w:left w:val="nil"/>
              <w:bottom w:val="single" w:sz="8" w:space="0" w:color="auto"/>
              <w:right w:val="single" w:sz="8" w:space="0" w:color="auto"/>
            </w:tcBorders>
            <w:shd w:val="clear" w:color="auto" w:fill="auto"/>
            <w:vAlign w:val="center"/>
          </w:tcPr>
          <w:p w14:paraId="34CE2C34"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color w:val="000000"/>
                <w:sz w:val="18"/>
                <w:szCs w:val="21"/>
              </w:rPr>
            </w:pPr>
            <w:r>
              <w:rPr>
                <w:rFonts w:ascii="Arial" w:hAnsi="Arial" w:cs="Arial"/>
                <w:color w:val="000000"/>
                <w:sz w:val="18"/>
                <w:szCs w:val="21"/>
              </w:rPr>
              <w:t>92%</w:t>
            </w:r>
          </w:p>
        </w:tc>
        <w:tc>
          <w:tcPr>
            <w:tcW w:w="777" w:type="dxa"/>
            <w:tcBorders>
              <w:top w:val="nil"/>
              <w:left w:val="nil"/>
              <w:bottom w:val="single" w:sz="8" w:space="0" w:color="auto"/>
              <w:right w:val="single" w:sz="8" w:space="0" w:color="auto"/>
            </w:tcBorders>
            <w:vAlign w:val="center"/>
          </w:tcPr>
          <w:p w14:paraId="64828C46"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88%</w:t>
            </w:r>
          </w:p>
        </w:tc>
        <w:tc>
          <w:tcPr>
            <w:tcW w:w="777" w:type="dxa"/>
            <w:tcBorders>
              <w:top w:val="nil"/>
              <w:left w:val="nil"/>
              <w:bottom w:val="single" w:sz="8" w:space="0" w:color="auto"/>
              <w:right w:val="single" w:sz="8" w:space="0" w:color="auto"/>
            </w:tcBorders>
            <w:vAlign w:val="center"/>
          </w:tcPr>
          <w:p w14:paraId="7F4C3AE8"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84%</w:t>
            </w:r>
          </w:p>
        </w:tc>
        <w:tc>
          <w:tcPr>
            <w:tcW w:w="777" w:type="dxa"/>
            <w:tcBorders>
              <w:top w:val="nil"/>
              <w:left w:val="nil"/>
              <w:bottom w:val="single" w:sz="8" w:space="0" w:color="auto"/>
              <w:right w:val="single" w:sz="8" w:space="0" w:color="auto"/>
            </w:tcBorders>
            <w:vAlign w:val="center"/>
          </w:tcPr>
          <w:p w14:paraId="2A7CE28C"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80%</w:t>
            </w:r>
          </w:p>
        </w:tc>
        <w:tc>
          <w:tcPr>
            <w:tcW w:w="777" w:type="dxa"/>
            <w:tcBorders>
              <w:top w:val="nil"/>
              <w:left w:val="nil"/>
              <w:bottom w:val="single" w:sz="8" w:space="0" w:color="auto"/>
              <w:right w:val="single" w:sz="8" w:space="0" w:color="auto"/>
            </w:tcBorders>
            <w:vAlign w:val="center"/>
          </w:tcPr>
          <w:p w14:paraId="140BEFE6"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76%</w:t>
            </w:r>
          </w:p>
        </w:tc>
        <w:tc>
          <w:tcPr>
            <w:tcW w:w="777" w:type="dxa"/>
            <w:tcBorders>
              <w:top w:val="nil"/>
              <w:left w:val="nil"/>
              <w:bottom w:val="single" w:sz="8" w:space="0" w:color="auto"/>
              <w:right w:val="single" w:sz="8" w:space="0" w:color="auto"/>
            </w:tcBorders>
            <w:vAlign w:val="center"/>
          </w:tcPr>
          <w:p w14:paraId="28FF18A2"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72%</w:t>
            </w:r>
          </w:p>
        </w:tc>
        <w:tc>
          <w:tcPr>
            <w:tcW w:w="777" w:type="dxa"/>
            <w:tcBorders>
              <w:top w:val="nil"/>
              <w:left w:val="nil"/>
              <w:bottom w:val="single" w:sz="8" w:space="0" w:color="auto"/>
              <w:right w:val="single" w:sz="8" w:space="0" w:color="auto"/>
            </w:tcBorders>
            <w:vAlign w:val="center"/>
          </w:tcPr>
          <w:p w14:paraId="5D60BCAA"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68%</w:t>
            </w:r>
          </w:p>
        </w:tc>
        <w:tc>
          <w:tcPr>
            <w:tcW w:w="777" w:type="dxa"/>
            <w:tcBorders>
              <w:top w:val="nil"/>
              <w:left w:val="nil"/>
              <w:bottom w:val="single" w:sz="8" w:space="0" w:color="auto"/>
              <w:right w:val="single" w:sz="8" w:space="0" w:color="auto"/>
            </w:tcBorders>
            <w:vAlign w:val="center"/>
          </w:tcPr>
          <w:p w14:paraId="6332C057"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64%</w:t>
            </w:r>
          </w:p>
        </w:tc>
        <w:tc>
          <w:tcPr>
            <w:tcW w:w="777" w:type="dxa"/>
            <w:tcBorders>
              <w:top w:val="nil"/>
              <w:left w:val="nil"/>
              <w:bottom w:val="single" w:sz="8" w:space="0" w:color="auto"/>
              <w:right w:val="single" w:sz="8" w:space="0" w:color="auto"/>
            </w:tcBorders>
            <w:vAlign w:val="center"/>
          </w:tcPr>
          <w:p w14:paraId="2D09A9BD"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60%</w:t>
            </w:r>
          </w:p>
        </w:tc>
      </w:tr>
      <w:tr w:rsidR="005731AA" w:rsidRPr="006160D0" w14:paraId="186B00E5" w14:textId="77777777" w:rsidTr="007147A1">
        <w:trPr>
          <w:trHeight w:val="563"/>
        </w:trPr>
        <w:tc>
          <w:tcPr>
            <w:tcW w:w="1277" w:type="dxa"/>
            <w:tcBorders>
              <w:top w:val="nil"/>
              <w:left w:val="single" w:sz="8" w:space="0" w:color="auto"/>
              <w:bottom w:val="single" w:sz="4" w:space="0" w:color="auto"/>
              <w:right w:val="single" w:sz="8" w:space="0" w:color="auto"/>
            </w:tcBorders>
            <w:shd w:val="clear" w:color="auto" w:fill="auto"/>
            <w:noWrap/>
            <w:vAlign w:val="center"/>
          </w:tcPr>
          <w:p w14:paraId="2B39CA33" w14:textId="77777777" w:rsidR="005731AA" w:rsidRPr="006160D0" w:rsidRDefault="005731AA" w:rsidP="007147A1">
            <w:pPr>
              <w:tabs>
                <w:tab w:val="clear" w:pos="907"/>
                <w:tab w:val="clear" w:pos="9185"/>
                <w:tab w:val="left" w:pos="2113"/>
              </w:tabs>
              <w:jc w:val="center"/>
              <w:rPr>
                <w:rFonts w:ascii="Arial" w:hAnsi="Arial" w:cs="Arial"/>
                <w:sz w:val="18"/>
                <w:szCs w:val="21"/>
              </w:rPr>
            </w:pPr>
            <w:r>
              <w:rPr>
                <w:rFonts w:ascii="Arial" w:hAnsi="Arial" w:cs="Arial"/>
                <w:color w:val="000000"/>
                <w:sz w:val="18"/>
                <w:szCs w:val="21"/>
              </w:rPr>
              <w:t>L&amp;G Pre-Retirement Fund</w:t>
            </w:r>
          </w:p>
        </w:tc>
        <w:tc>
          <w:tcPr>
            <w:tcW w:w="833" w:type="dxa"/>
            <w:tcBorders>
              <w:top w:val="nil"/>
              <w:left w:val="nil"/>
              <w:bottom w:val="single" w:sz="4" w:space="0" w:color="auto"/>
              <w:right w:val="single" w:sz="8" w:space="0" w:color="auto"/>
            </w:tcBorders>
            <w:shd w:val="clear" w:color="auto" w:fill="auto"/>
            <w:noWrap/>
            <w:vAlign w:val="center"/>
          </w:tcPr>
          <w:p w14:paraId="630ECDDB"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color w:val="000000"/>
                <w:sz w:val="18"/>
                <w:szCs w:val="21"/>
              </w:rPr>
            </w:pPr>
            <w:r>
              <w:rPr>
                <w:rFonts w:ascii="Arial" w:hAnsi="Arial" w:cs="Arial"/>
                <w:color w:val="000000"/>
                <w:sz w:val="18"/>
                <w:szCs w:val="21"/>
              </w:rPr>
              <w:t>0%</w:t>
            </w:r>
          </w:p>
        </w:tc>
        <w:tc>
          <w:tcPr>
            <w:tcW w:w="777" w:type="dxa"/>
            <w:tcBorders>
              <w:top w:val="nil"/>
              <w:left w:val="nil"/>
              <w:bottom w:val="single" w:sz="4" w:space="0" w:color="auto"/>
              <w:right w:val="single" w:sz="8" w:space="0" w:color="auto"/>
            </w:tcBorders>
            <w:shd w:val="clear" w:color="auto" w:fill="auto"/>
            <w:vAlign w:val="center"/>
          </w:tcPr>
          <w:p w14:paraId="49FC47C3" w14:textId="77777777" w:rsidR="005731AA" w:rsidRPr="006160D0" w:rsidRDefault="005731AA" w:rsidP="007147A1">
            <w:pPr>
              <w:tabs>
                <w:tab w:val="left" w:pos="6300"/>
              </w:tabs>
              <w:spacing w:line="240" w:lineRule="auto"/>
              <w:ind w:right="58"/>
              <w:jc w:val="center"/>
              <w:rPr>
                <w:rFonts w:ascii="Arial" w:hAnsi="Arial" w:cs="Arial"/>
                <w:sz w:val="18"/>
                <w:szCs w:val="21"/>
              </w:rPr>
            </w:pPr>
            <w:r>
              <w:rPr>
                <w:rFonts w:ascii="Arial" w:hAnsi="Arial" w:cs="Arial"/>
                <w:sz w:val="18"/>
                <w:szCs w:val="21"/>
              </w:rPr>
              <w:t>4%</w:t>
            </w:r>
          </w:p>
        </w:tc>
        <w:tc>
          <w:tcPr>
            <w:tcW w:w="777" w:type="dxa"/>
            <w:tcBorders>
              <w:top w:val="nil"/>
              <w:left w:val="nil"/>
              <w:bottom w:val="single" w:sz="4" w:space="0" w:color="auto"/>
              <w:right w:val="single" w:sz="8" w:space="0" w:color="auto"/>
            </w:tcBorders>
            <w:shd w:val="clear" w:color="auto" w:fill="auto"/>
            <w:vAlign w:val="center"/>
          </w:tcPr>
          <w:p w14:paraId="6E59F1AF"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color w:val="000000"/>
                <w:sz w:val="18"/>
                <w:szCs w:val="21"/>
              </w:rPr>
            </w:pPr>
            <w:r>
              <w:rPr>
                <w:rFonts w:ascii="Arial" w:hAnsi="Arial" w:cs="Arial"/>
                <w:color w:val="000000"/>
                <w:sz w:val="18"/>
                <w:szCs w:val="21"/>
              </w:rPr>
              <w:t>8%</w:t>
            </w:r>
          </w:p>
        </w:tc>
        <w:tc>
          <w:tcPr>
            <w:tcW w:w="777" w:type="dxa"/>
            <w:tcBorders>
              <w:top w:val="nil"/>
              <w:left w:val="nil"/>
              <w:bottom w:val="single" w:sz="4" w:space="0" w:color="auto"/>
              <w:right w:val="single" w:sz="8" w:space="0" w:color="auto"/>
            </w:tcBorders>
            <w:vAlign w:val="center"/>
          </w:tcPr>
          <w:p w14:paraId="0B99AB5B"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12%</w:t>
            </w:r>
          </w:p>
        </w:tc>
        <w:tc>
          <w:tcPr>
            <w:tcW w:w="777" w:type="dxa"/>
            <w:tcBorders>
              <w:top w:val="nil"/>
              <w:left w:val="nil"/>
              <w:bottom w:val="single" w:sz="4" w:space="0" w:color="auto"/>
              <w:right w:val="single" w:sz="8" w:space="0" w:color="auto"/>
            </w:tcBorders>
            <w:vAlign w:val="center"/>
          </w:tcPr>
          <w:p w14:paraId="214F8160"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16%</w:t>
            </w:r>
          </w:p>
        </w:tc>
        <w:tc>
          <w:tcPr>
            <w:tcW w:w="777" w:type="dxa"/>
            <w:tcBorders>
              <w:top w:val="nil"/>
              <w:left w:val="nil"/>
              <w:bottom w:val="single" w:sz="4" w:space="0" w:color="auto"/>
              <w:right w:val="single" w:sz="8" w:space="0" w:color="auto"/>
            </w:tcBorders>
            <w:vAlign w:val="center"/>
          </w:tcPr>
          <w:p w14:paraId="02230603"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20%</w:t>
            </w:r>
          </w:p>
        </w:tc>
        <w:tc>
          <w:tcPr>
            <w:tcW w:w="777" w:type="dxa"/>
            <w:tcBorders>
              <w:top w:val="nil"/>
              <w:left w:val="nil"/>
              <w:bottom w:val="single" w:sz="4" w:space="0" w:color="auto"/>
              <w:right w:val="single" w:sz="8" w:space="0" w:color="auto"/>
            </w:tcBorders>
            <w:vAlign w:val="center"/>
          </w:tcPr>
          <w:p w14:paraId="14AA552B"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24%</w:t>
            </w:r>
          </w:p>
        </w:tc>
        <w:tc>
          <w:tcPr>
            <w:tcW w:w="777" w:type="dxa"/>
            <w:tcBorders>
              <w:top w:val="nil"/>
              <w:left w:val="nil"/>
              <w:bottom w:val="single" w:sz="4" w:space="0" w:color="auto"/>
              <w:right w:val="single" w:sz="8" w:space="0" w:color="auto"/>
            </w:tcBorders>
            <w:vAlign w:val="center"/>
          </w:tcPr>
          <w:p w14:paraId="65920F50"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28%</w:t>
            </w:r>
          </w:p>
        </w:tc>
        <w:tc>
          <w:tcPr>
            <w:tcW w:w="777" w:type="dxa"/>
            <w:tcBorders>
              <w:top w:val="nil"/>
              <w:left w:val="nil"/>
              <w:bottom w:val="single" w:sz="4" w:space="0" w:color="auto"/>
              <w:right w:val="single" w:sz="8" w:space="0" w:color="auto"/>
            </w:tcBorders>
            <w:vAlign w:val="center"/>
          </w:tcPr>
          <w:p w14:paraId="2F6265DA"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27%</w:t>
            </w:r>
          </w:p>
        </w:tc>
        <w:tc>
          <w:tcPr>
            <w:tcW w:w="777" w:type="dxa"/>
            <w:tcBorders>
              <w:top w:val="nil"/>
              <w:left w:val="nil"/>
              <w:bottom w:val="single" w:sz="4" w:space="0" w:color="auto"/>
              <w:right w:val="single" w:sz="8" w:space="0" w:color="auto"/>
            </w:tcBorders>
            <w:vAlign w:val="center"/>
          </w:tcPr>
          <w:p w14:paraId="6CEA2459"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26%</w:t>
            </w:r>
          </w:p>
        </w:tc>
        <w:tc>
          <w:tcPr>
            <w:tcW w:w="777" w:type="dxa"/>
            <w:tcBorders>
              <w:top w:val="nil"/>
              <w:left w:val="nil"/>
              <w:bottom w:val="single" w:sz="4" w:space="0" w:color="auto"/>
              <w:right w:val="single" w:sz="8" w:space="0" w:color="auto"/>
            </w:tcBorders>
            <w:vAlign w:val="center"/>
          </w:tcPr>
          <w:p w14:paraId="6D816776"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25%</w:t>
            </w:r>
          </w:p>
        </w:tc>
      </w:tr>
      <w:tr w:rsidR="005731AA" w:rsidRPr="006160D0" w14:paraId="00400B80" w14:textId="77777777" w:rsidTr="007147A1">
        <w:trPr>
          <w:trHeight w:val="563"/>
        </w:trPr>
        <w:tc>
          <w:tcPr>
            <w:tcW w:w="127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C0E21BD" w14:textId="77777777" w:rsidR="005731AA" w:rsidRDefault="005731AA" w:rsidP="007147A1">
            <w:pPr>
              <w:tabs>
                <w:tab w:val="clear" w:pos="907"/>
                <w:tab w:val="clear" w:pos="9185"/>
                <w:tab w:val="left" w:pos="2113"/>
              </w:tabs>
              <w:jc w:val="center"/>
              <w:rPr>
                <w:rFonts w:ascii="Arial" w:hAnsi="Arial" w:cs="Arial"/>
                <w:sz w:val="18"/>
                <w:szCs w:val="21"/>
              </w:rPr>
            </w:pPr>
            <w:r>
              <w:rPr>
                <w:rFonts w:ascii="Arial" w:hAnsi="Arial" w:cs="Arial"/>
                <w:sz w:val="18"/>
                <w:szCs w:val="21"/>
              </w:rPr>
              <w:t>L&amp;G Cash Fund</w:t>
            </w:r>
          </w:p>
        </w:tc>
        <w:tc>
          <w:tcPr>
            <w:tcW w:w="833" w:type="dxa"/>
            <w:tcBorders>
              <w:top w:val="single" w:sz="4" w:space="0" w:color="auto"/>
              <w:left w:val="nil"/>
              <w:bottom w:val="single" w:sz="4" w:space="0" w:color="auto"/>
              <w:right w:val="single" w:sz="8" w:space="0" w:color="auto"/>
            </w:tcBorders>
            <w:shd w:val="clear" w:color="auto" w:fill="auto"/>
            <w:noWrap/>
            <w:vAlign w:val="center"/>
          </w:tcPr>
          <w:p w14:paraId="2531339E" w14:textId="77777777" w:rsidR="005731AA" w:rsidRDefault="005731AA" w:rsidP="007147A1">
            <w:pPr>
              <w:suppressLineNumbers w:val="0"/>
              <w:tabs>
                <w:tab w:val="clear" w:pos="907"/>
                <w:tab w:val="clear" w:pos="9185"/>
              </w:tabs>
              <w:suppressAutoHyphens w:val="0"/>
              <w:spacing w:line="240" w:lineRule="auto"/>
              <w:jc w:val="center"/>
              <w:rPr>
                <w:rFonts w:ascii="Arial" w:hAnsi="Arial" w:cs="Arial"/>
                <w:color w:val="000000"/>
                <w:sz w:val="18"/>
                <w:szCs w:val="21"/>
              </w:rPr>
            </w:pPr>
            <w:r>
              <w:rPr>
                <w:rFonts w:ascii="Arial" w:hAnsi="Arial" w:cs="Arial"/>
                <w:color w:val="000000"/>
                <w:sz w:val="18"/>
                <w:szCs w:val="21"/>
              </w:rPr>
              <w:t>0%</w:t>
            </w:r>
          </w:p>
        </w:tc>
        <w:tc>
          <w:tcPr>
            <w:tcW w:w="777" w:type="dxa"/>
            <w:tcBorders>
              <w:top w:val="single" w:sz="4" w:space="0" w:color="auto"/>
              <w:left w:val="nil"/>
              <w:bottom w:val="single" w:sz="4" w:space="0" w:color="auto"/>
              <w:right w:val="single" w:sz="8" w:space="0" w:color="auto"/>
            </w:tcBorders>
            <w:shd w:val="clear" w:color="auto" w:fill="auto"/>
            <w:vAlign w:val="center"/>
          </w:tcPr>
          <w:p w14:paraId="6B95F3B6" w14:textId="77777777" w:rsidR="005731AA" w:rsidRDefault="005731AA" w:rsidP="007147A1">
            <w:pPr>
              <w:tabs>
                <w:tab w:val="left" w:pos="6300"/>
              </w:tabs>
              <w:spacing w:line="240" w:lineRule="auto"/>
              <w:ind w:right="58"/>
              <w:jc w:val="center"/>
              <w:rPr>
                <w:rFonts w:ascii="Arial" w:hAnsi="Arial" w:cs="Arial"/>
                <w:sz w:val="18"/>
                <w:szCs w:val="21"/>
              </w:rPr>
            </w:pPr>
            <w:r>
              <w:rPr>
                <w:rFonts w:ascii="Arial" w:hAnsi="Arial" w:cs="Arial"/>
                <w:sz w:val="18"/>
                <w:szCs w:val="21"/>
              </w:rPr>
              <w:t>0%</w:t>
            </w:r>
          </w:p>
        </w:tc>
        <w:tc>
          <w:tcPr>
            <w:tcW w:w="777" w:type="dxa"/>
            <w:tcBorders>
              <w:top w:val="single" w:sz="4" w:space="0" w:color="auto"/>
              <w:left w:val="nil"/>
              <w:bottom w:val="single" w:sz="4" w:space="0" w:color="auto"/>
              <w:right w:val="single" w:sz="8" w:space="0" w:color="auto"/>
            </w:tcBorders>
            <w:shd w:val="clear" w:color="auto" w:fill="auto"/>
            <w:vAlign w:val="center"/>
          </w:tcPr>
          <w:p w14:paraId="72B3799C" w14:textId="77777777" w:rsidR="005731AA" w:rsidRDefault="005731AA" w:rsidP="007147A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0%</w:t>
            </w:r>
          </w:p>
        </w:tc>
        <w:tc>
          <w:tcPr>
            <w:tcW w:w="777" w:type="dxa"/>
            <w:tcBorders>
              <w:top w:val="single" w:sz="4" w:space="0" w:color="auto"/>
              <w:left w:val="nil"/>
              <w:bottom w:val="single" w:sz="4" w:space="0" w:color="auto"/>
              <w:right w:val="single" w:sz="8" w:space="0" w:color="auto"/>
            </w:tcBorders>
            <w:vAlign w:val="center"/>
          </w:tcPr>
          <w:p w14:paraId="6A4D5679" w14:textId="77777777" w:rsidR="005731AA"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sidRPr="006160D0">
              <w:rPr>
                <w:rFonts w:ascii="Arial" w:hAnsi="Arial" w:cs="Arial"/>
                <w:color w:val="000000"/>
                <w:sz w:val="18"/>
                <w:szCs w:val="21"/>
              </w:rPr>
              <w:t>0%</w:t>
            </w:r>
          </w:p>
        </w:tc>
        <w:tc>
          <w:tcPr>
            <w:tcW w:w="777" w:type="dxa"/>
            <w:tcBorders>
              <w:top w:val="single" w:sz="4" w:space="0" w:color="auto"/>
              <w:left w:val="nil"/>
              <w:bottom w:val="single" w:sz="4" w:space="0" w:color="auto"/>
              <w:right w:val="single" w:sz="8" w:space="0" w:color="auto"/>
            </w:tcBorders>
            <w:vAlign w:val="center"/>
          </w:tcPr>
          <w:p w14:paraId="33FB4317" w14:textId="77777777" w:rsidR="005731AA"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sidRPr="006160D0">
              <w:rPr>
                <w:rFonts w:ascii="Arial" w:hAnsi="Arial" w:cs="Arial"/>
                <w:color w:val="000000"/>
                <w:sz w:val="18"/>
                <w:szCs w:val="21"/>
              </w:rPr>
              <w:t>0%</w:t>
            </w:r>
          </w:p>
        </w:tc>
        <w:tc>
          <w:tcPr>
            <w:tcW w:w="777" w:type="dxa"/>
            <w:tcBorders>
              <w:top w:val="single" w:sz="4" w:space="0" w:color="auto"/>
              <w:left w:val="nil"/>
              <w:bottom w:val="single" w:sz="4" w:space="0" w:color="auto"/>
              <w:right w:val="single" w:sz="8" w:space="0" w:color="auto"/>
            </w:tcBorders>
            <w:vAlign w:val="center"/>
          </w:tcPr>
          <w:p w14:paraId="494988BF" w14:textId="77777777" w:rsidR="005731AA"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sidRPr="006160D0">
              <w:rPr>
                <w:rFonts w:ascii="Arial" w:hAnsi="Arial" w:cs="Arial"/>
                <w:color w:val="000000"/>
                <w:sz w:val="18"/>
                <w:szCs w:val="21"/>
              </w:rPr>
              <w:t>0%</w:t>
            </w:r>
          </w:p>
        </w:tc>
        <w:tc>
          <w:tcPr>
            <w:tcW w:w="777" w:type="dxa"/>
            <w:tcBorders>
              <w:top w:val="single" w:sz="4" w:space="0" w:color="auto"/>
              <w:left w:val="nil"/>
              <w:bottom w:val="single" w:sz="4" w:space="0" w:color="auto"/>
              <w:right w:val="single" w:sz="8" w:space="0" w:color="auto"/>
            </w:tcBorders>
            <w:vAlign w:val="center"/>
          </w:tcPr>
          <w:p w14:paraId="250FD47D" w14:textId="77777777" w:rsidR="005731AA"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0%</w:t>
            </w:r>
          </w:p>
        </w:tc>
        <w:tc>
          <w:tcPr>
            <w:tcW w:w="777" w:type="dxa"/>
            <w:tcBorders>
              <w:top w:val="single" w:sz="4" w:space="0" w:color="auto"/>
              <w:left w:val="nil"/>
              <w:bottom w:val="single" w:sz="4" w:space="0" w:color="auto"/>
              <w:right w:val="single" w:sz="8" w:space="0" w:color="auto"/>
            </w:tcBorders>
            <w:vAlign w:val="center"/>
          </w:tcPr>
          <w:p w14:paraId="6B5795BA" w14:textId="77777777" w:rsidR="005731AA"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0%</w:t>
            </w:r>
          </w:p>
        </w:tc>
        <w:tc>
          <w:tcPr>
            <w:tcW w:w="777" w:type="dxa"/>
            <w:tcBorders>
              <w:top w:val="single" w:sz="4" w:space="0" w:color="auto"/>
              <w:left w:val="nil"/>
              <w:bottom w:val="single" w:sz="4" w:space="0" w:color="auto"/>
              <w:right w:val="single" w:sz="8" w:space="0" w:color="auto"/>
            </w:tcBorders>
            <w:vAlign w:val="center"/>
          </w:tcPr>
          <w:p w14:paraId="1A17E401" w14:textId="77777777" w:rsidR="005731AA"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5%</w:t>
            </w:r>
          </w:p>
        </w:tc>
        <w:tc>
          <w:tcPr>
            <w:tcW w:w="777" w:type="dxa"/>
            <w:tcBorders>
              <w:top w:val="single" w:sz="4" w:space="0" w:color="auto"/>
              <w:left w:val="nil"/>
              <w:bottom w:val="single" w:sz="4" w:space="0" w:color="auto"/>
              <w:right w:val="single" w:sz="8" w:space="0" w:color="auto"/>
            </w:tcBorders>
            <w:vAlign w:val="center"/>
          </w:tcPr>
          <w:p w14:paraId="2192AF57" w14:textId="77777777" w:rsidR="005731AA"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10%</w:t>
            </w:r>
          </w:p>
        </w:tc>
        <w:tc>
          <w:tcPr>
            <w:tcW w:w="777" w:type="dxa"/>
            <w:tcBorders>
              <w:top w:val="single" w:sz="4" w:space="0" w:color="auto"/>
              <w:left w:val="nil"/>
              <w:bottom w:val="single" w:sz="4" w:space="0" w:color="auto"/>
              <w:right w:val="single" w:sz="8" w:space="0" w:color="auto"/>
            </w:tcBorders>
            <w:vAlign w:val="center"/>
          </w:tcPr>
          <w:p w14:paraId="135D6032"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15%</w:t>
            </w:r>
          </w:p>
        </w:tc>
      </w:tr>
      <w:tr w:rsidR="005731AA" w:rsidRPr="006160D0" w14:paraId="57509F5A" w14:textId="77777777" w:rsidTr="007147A1">
        <w:trPr>
          <w:trHeight w:val="779"/>
        </w:trPr>
        <w:tc>
          <w:tcPr>
            <w:tcW w:w="127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405DCDB" w14:textId="77777777" w:rsidR="005731AA" w:rsidRDefault="005731AA" w:rsidP="007147A1">
            <w:pPr>
              <w:tabs>
                <w:tab w:val="clear" w:pos="907"/>
                <w:tab w:val="clear" w:pos="9185"/>
                <w:tab w:val="left" w:pos="2113"/>
              </w:tabs>
              <w:jc w:val="center"/>
              <w:rPr>
                <w:rFonts w:ascii="Arial" w:hAnsi="Arial" w:cs="Arial"/>
                <w:sz w:val="18"/>
                <w:szCs w:val="21"/>
              </w:rPr>
            </w:pPr>
            <w:r>
              <w:rPr>
                <w:rFonts w:ascii="Arial" w:hAnsi="Arial" w:cs="Arial"/>
                <w:sz w:val="18"/>
                <w:szCs w:val="21"/>
              </w:rPr>
              <w:t>Total</w:t>
            </w:r>
          </w:p>
        </w:tc>
        <w:tc>
          <w:tcPr>
            <w:tcW w:w="833" w:type="dxa"/>
            <w:tcBorders>
              <w:top w:val="single" w:sz="4" w:space="0" w:color="auto"/>
              <w:left w:val="nil"/>
              <w:bottom w:val="single" w:sz="4" w:space="0" w:color="auto"/>
              <w:right w:val="single" w:sz="8" w:space="0" w:color="auto"/>
            </w:tcBorders>
            <w:shd w:val="clear" w:color="auto" w:fill="auto"/>
            <w:noWrap/>
            <w:vAlign w:val="center"/>
          </w:tcPr>
          <w:p w14:paraId="5FF68F9B" w14:textId="77777777" w:rsidR="005731AA" w:rsidRDefault="005731AA" w:rsidP="007147A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100%</w:t>
            </w:r>
          </w:p>
        </w:tc>
        <w:tc>
          <w:tcPr>
            <w:tcW w:w="777" w:type="dxa"/>
            <w:tcBorders>
              <w:top w:val="single" w:sz="4" w:space="0" w:color="auto"/>
              <w:left w:val="nil"/>
              <w:bottom w:val="single" w:sz="4" w:space="0" w:color="auto"/>
              <w:right w:val="single" w:sz="8" w:space="0" w:color="auto"/>
            </w:tcBorders>
            <w:shd w:val="clear" w:color="auto" w:fill="auto"/>
            <w:vAlign w:val="center"/>
          </w:tcPr>
          <w:p w14:paraId="10F01191" w14:textId="77777777" w:rsidR="005731AA" w:rsidRDefault="005731AA" w:rsidP="007147A1">
            <w:pPr>
              <w:tabs>
                <w:tab w:val="left" w:pos="6300"/>
              </w:tabs>
              <w:spacing w:line="240" w:lineRule="auto"/>
              <w:ind w:right="58"/>
              <w:jc w:val="center"/>
              <w:rPr>
                <w:rFonts w:ascii="Arial" w:hAnsi="Arial" w:cs="Arial"/>
                <w:sz w:val="18"/>
                <w:szCs w:val="21"/>
              </w:rPr>
            </w:pPr>
            <w:r w:rsidRPr="006160D0">
              <w:rPr>
                <w:rFonts w:ascii="Arial" w:hAnsi="Arial" w:cs="Arial"/>
                <w:color w:val="000000"/>
                <w:sz w:val="18"/>
                <w:szCs w:val="21"/>
              </w:rPr>
              <w:t>100%</w:t>
            </w:r>
          </w:p>
        </w:tc>
        <w:tc>
          <w:tcPr>
            <w:tcW w:w="777" w:type="dxa"/>
            <w:tcBorders>
              <w:top w:val="single" w:sz="4" w:space="0" w:color="auto"/>
              <w:left w:val="nil"/>
              <w:bottom w:val="single" w:sz="4" w:space="0" w:color="auto"/>
              <w:right w:val="single" w:sz="8" w:space="0" w:color="auto"/>
            </w:tcBorders>
            <w:shd w:val="clear" w:color="auto" w:fill="auto"/>
            <w:vAlign w:val="center"/>
          </w:tcPr>
          <w:p w14:paraId="64DE9C80"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100%</w:t>
            </w:r>
          </w:p>
        </w:tc>
        <w:tc>
          <w:tcPr>
            <w:tcW w:w="777" w:type="dxa"/>
            <w:tcBorders>
              <w:top w:val="single" w:sz="4" w:space="0" w:color="auto"/>
              <w:left w:val="nil"/>
              <w:bottom w:val="single" w:sz="4" w:space="0" w:color="auto"/>
              <w:right w:val="single" w:sz="8" w:space="0" w:color="auto"/>
            </w:tcBorders>
            <w:vAlign w:val="center"/>
          </w:tcPr>
          <w:p w14:paraId="4B26B683"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100%</w:t>
            </w:r>
          </w:p>
        </w:tc>
        <w:tc>
          <w:tcPr>
            <w:tcW w:w="777" w:type="dxa"/>
            <w:tcBorders>
              <w:top w:val="single" w:sz="4" w:space="0" w:color="auto"/>
              <w:left w:val="nil"/>
              <w:bottom w:val="single" w:sz="4" w:space="0" w:color="auto"/>
              <w:right w:val="single" w:sz="8" w:space="0" w:color="auto"/>
            </w:tcBorders>
            <w:vAlign w:val="center"/>
          </w:tcPr>
          <w:p w14:paraId="27349B87"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100%</w:t>
            </w:r>
          </w:p>
        </w:tc>
        <w:tc>
          <w:tcPr>
            <w:tcW w:w="777" w:type="dxa"/>
            <w:tcBorders>
              <w:top w:val="single" w:sz="4" w:space="0" w:color="auto"/>
              <w:left w:val="nil"/>
              <w:bottom w:val="single" w:sz="4" w:space="0" w:color="auto"/>
              <w:right w:val="single" w:sz="8" w:space="0" w:color="auto"/>
            </w:tcBorders>
            <w:vAlign w:val="center"/>
          </w:tcPr>
          <w:p w14:paraId="283F5F03" w14:textId="77777777" w:rsidR="005731AA" w:rsidRPr="006160D0" w:rsidRDefault="005731AA" w:rsidP="007147A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100%</w:t>
            </w:r>
          </w:p>
        </w:tc>
        <w:tc>
          <w:tcPr>
            <w:tcW w:w="777" w:type="dxa"/>
            <w:tcBorders>
              <w:top w:val="single" w:sz="4" w:space="0" w:color="auto"/>
              <w:left w:val="nil"/>
              <w:bottom w:val="single" w:sz="4" w:space="0" w:color="auto"/>
              <w:right w:val="single" w:sz="8" w:space="0" w:color="auto"/>
            </w:tcBorders>
            <w:vAlign w:val="center"/>
          </w:tcPr>
          <w:p w14:paraId="222CCF2F" w14:textId="77777777" w:rsidR="005731AA"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sidRPr="006160D0">
              <w:rPr>
                <w:rFonts w:ascii="Arial" w:hAnsi="Arial" w:cs="Arial"/>
                <w:color w:val="000000"/>
                <w:sz w:val="18"/>
                <w:szCs w:val="21"/>
              </w:rPr>
              <w:t>100%</w:t>
            </w:r>
          </w:p>
        </w:tc>
        <w:tc>
          <w:tcPr>
            <w:tcW w:w="777" w:type="dxa"/>
            <w:tcBorders>
              <w:top w:val="single" w:sz="4" w:space="0" w:color="auto"/>
              <w:left w:val="nil"/>
              <w:bottom w:val="single" w:sz="4" w:space="0" w:color="auto"/>
              <w:right w:val="single" w:sz="8" w:space="0" w:color="auto"/>
            </w:tcBorders>
            <w:vAlign w:val="center"/>
          </w:tcPr>
          <w:p w14:paraId="2C14F06D" w14:textId="77777777" w:rsidR="005731AA"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sidRPr="006160D0">
              <w:rPr>
                <w:rFonts w:ascii="Arial" w:hAnsi="Arial" w:cs="Arial"/>
                <w:color w:val="000000"/>
                <w:sz w:val="18"/>
                <w:szCs w:val="21"/>
              </w:rPr>
              <w:t>100%</w:t>
            </w:r>
          </w:p>
        </w:tc>
        <w:tc>
          <w:tcPr>
            <w:tcW w:w="777" w:type="dxa"/>
            <w:tcBorders>
              <w:top w:val="single" w:sz="4" w:space="0" w:color="auto"/>
              <w:left w:val="nil"/>
              <w:bottom w:val="single" w:sz="4" w:space="0" w:color="auto"/>
              <w:right w:val="single" w:sz="8" w:space="0" w:color="auto"/>
            </w:tcBorders>
            <w:vAlign w:val="center"/>
          </w:tcPr>
          <w:p w14:paraId="3A5861D6" w14:textId="77777777" w:rsidR="005731AA"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sidRPr="006160D0">
              <w:rPr>
                <w:rFonts w:ascii="Arial" w:hAnsi="Arial" w:cs="Arial"/>
                <w:color w:val="000000"/>
                <w:sz w:val="18"/>
                <w:szCs w:val="21"/>
              </w:rPr>
              <w:t>100%</w:t>
            </w:r>
          </w:p>
        </w:tc>
        <w:tc>
          <w:tcPr>
            <w:tcW w:w="777" w:type="dxa"/>
            <w:tcBorders>
              <w:top w:val="single" w:sz="4" w:space="0" w:color="auto"/>
              <w:left w:val="nil"/>
              <w:bottom w:val="single" w:sz="4" w:space="0" w:color="auto"/>
              <w:right w:val="single" w:sz="8" w:space="0" w:color="auto"/>
            </w:tcBorders>
            <w:vAlign w:val="center"/>
          </w:tcPr>
          <w:p w14:paraId="6BAE1938" w14:textId="77777777" w:rsidR="005731AA"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sidRPr="006160D0">
              <w:rPr>
                <w:rFonts w:ascii="Arial" w:hAnsi="Arial" w:cs="Arial"/>
                <w:color w:val="000000"/>
                <w:sz w:val="18"/>
                <w:szCs w:val="21"/>
              </w:rPr>
              <w:t>100%</w:t>
            </w:r>
          </w:p>
        </w:tc>
        <w:tc>
          <w:tcPr>
            <w:tcW w:w="777" w:type="dxa"/>
            <w:tcBorders>
              <w:top w:val="single" w:sz="4" w:space="0" w:color="auto"/>
              <w:left w:val="nil"/>
              <w:bottom w:val="single" w:sz="4" w:space="0" w:color="auto"/>
              <w:right w:val="single" w:sz="8" w:space="0" w:color="auto"/>
            </w:tcBorders>
            <w:vAlign w:val="center"/>
          </w:tcPr>
          <w:p w14:paraId="110A6851" w14:textId="77777777" w:rsidR="005731AA" w:rsidRDefault="005731AA" w:rsidP="007147A1">
            <w:pPr>
              <w:suppressLineNumbers w:val="0"/>
              <w:tabs>
                <w:tab w:val="clear" w:pos="907"/>
                <w:tab w:val="clear" w:pos="9185"/>
              </w:tabs>
              <w:suppressAutoHyphens w:val="0"/>
              <w:spacing w:line="240" w:lineRule="auto"/>
              <w:jc w:val="center"/>
              <w:rPr>
                <w:rFonts w:ascii="Arial" w:hAnsi="Arial" w:cs="Arial"/>
                <w:sz w:val="18"/>
                <w:szCs w:val="21"/>
              </w:rPr>
            </w:pPr>
            <w:r w:rsidRPr="006160D0">
              <w:rPr>
                <w:rFonts w:ascii="Arial" w:hAnsi="Arial" w:cs="Arial"/>
                <w:color w:val="000000"/>
                <w:sz w:val="18"/>
                <w:szCs w:val="21"/>
              </w:rPr>
              <w:t>100%</w:t>
            </w:r>
          </w:p>
        </w:tc>
      </w:tr>
    </w:tbl>
    <w:p w14:paraId="4AFE14D0" w14:textId="77777777" w:rsidR="005731AA" w:rsidRDefault="005731AA" w:rsidP="005731AA"/>
    <w:p w14:paraId="21B96820" w14:textId="77777777" w:rsidR="005731AA" w:rsidRDefault="005731AA" w:rsidP="002766B1"/>
    <w:p w14:paraId="793A0680" w14:textId="77777777" w:rsidR="005731AA" w:rsidRDefault="005731AA" w:rsidP="002766B1"/>
    <w:p w14:paraId="4218464D" w14:textId="77777777" w:rsidR="005731AA" w:rsidRDefault="005731AA" w:rsidP="002766B1"/>
    <w:p w14:paraId="274DFE7E" w14:textId="77777777" w:rsidR="005731AA" w:rsidRDefault="005731AA" w:rsidP="002766B1"/>
    <w:p w14:paraId="7628DE51" w14:textId="77777777" w:rsidR="005731AA" w:rsidRDefault="005731AA" w:rsidP="002766B1"/>
    <w:p w14:paraId="60DC637F" w14:textId="77777777" w:rsidR="005731AA" w:rsidRDefault="005731AA" w:rsidP="002766B1"/>
    <w:p w14:paraId="75FECD9E" w14:textId="0E684FD4" w:rsidR="003E7604" w:rsidRPr="0065296C" w:rsidRDefault="00E438D0" w:rsidP="005731AA">
      <w:pPr>
        <w:spacing w:after="120"/>
        <w:rPr>
          <w:rFonts w:ascii="Arial" w:hAnsi="Arial" w:cs="Arial"/>
          <w:bCs/>
          <w:i/>
          <w:sz w:val="22"/>
        </w:rPr>
      </w:pPr>
      <w:r>
        <w:rPr>
          <w:rFonts w:ascii="Arial" w:hAnsi="Arial" w:cs="Arial"/>
          <w:bCs/>
          <w:i/>
          <w:sz w:val="22"/>
        </w:rPr>
        <w:lastRenderedPageBreak/>
        <w:t>The</w:t>
      </w:r>
      <w:r w:rsidR="007201E1" w:rsidRPr="0065296C">
        <w:rPr>
          <w:rFonts w:ascii="Arial" w:hAnsi="Arial" w:cs="Arial"/>
          <w:bCs/>
          <w:i/>
          <w:sz w:val="22"/>
        </w:rPr>
        <w:t xml:space="preserve"> </w:t>
      </w:r>
      <w:r>
        <w:rPr>
          <w:rFonts w:ascii="Arial" w:hAnsi="Arial" w:cs="Arial"/>
          <w:bCs/>
          <w:i/>
          <w:sz w:val="22"/>
        </w:rPr>
        <w:t>Higher Growth – Annuity Lifes</w:t>
      </w:r>
      <w:r w:rsidR="007201E1" w:rsidRPr="0065296C">
        <w:rPr>
          <w:rFonts w:ascii="Arial" w:hAnsi="Arial" w:cs="Arial"/>
          <w:bCs/>
          <w:i/>
          <w:sz w:val="22"/>
        </w:rPr>
        <w:t xml:space="preserve">tyle </w:t>
      </w:r>
    </w:p>
    <w:tbl>
      <w:tblPr>
        <w:tblW w:w="9880" w:type="dxa"/>
        <w:tblInd w:w="-10" w:type="dxa"/>
        <w:tblLayout w:type="fixed"/>
        <w:tblLook w:val="04A0" w:firstRow="1" w:lastRow="0" w:firstColumn="1" w:lastColumn="0" w:noHBand="0" w:noVBand="1"/>
      </w:tblPr>
      <w:tblGrid>
        <w:gridCol w:w="1277"/>
        <w:gridCol w:w="833"/>
        <w:gridCol w:w="777"/>
        <w:gridCol w:w="777"/>
        <w:gridCol w:w="777"/>
        <w:gridCol w:w="777"/>
        <w:gridCol w:w="777"/>
        <w:gridCol w:w="777"/>
        <w:gridCol w:w="777"/>
        <w:gridCol w:w="777"/>
        <w:gridCol w:w="777"/>
        <w:gridCol w:w="777"/>
      </w:tblGrid>
      <w:tr w:rsidR="007201E1" w:rsidRPr="006160D0" w14:paraId="7FDD4C15" w14:textId="77777777" w:rsidTr="007201E1">
        <w:trPr>
          <w:trHeight w:val="765"/>
        </w:trPr>
        <w:tc>
          <w:tcPr>
            <w:tcW w:w="1277" w:type="dxa"/>
            <w:tcBorders>
              <w:top w:val="single" w:sz="8" w:space="0" w:color="auto"/>
              <w:left w:val="single" w:sz="8" w:space="0" w:color="auto"/>
              <w:bottom w:val="single" w:sz="8" w:space="0" w:color="auto"/>
              <w:right w:val="single" w:sz="8" w:space="0" w:color="auto"/>
            </w:tcBorders>
            <w:shd w:val="clear" w:color="auto" w:fill="8064A2" w:themeFill="accent4"/>
            <w:vAlign w:val="center"/>
            <w:hideMark/>
          </w:tcPr>
          <w:p w14:paraId="23EDA319"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b/>
                <w:bCs/>
                <w:color w:val="FFFFFF"/>
                <w:sz w:val="18"/>
                <w:szCs w:val="21"/>
              </w:rPr>
            </w:pPr>
            <w:r w:rsidRPr="006160D0">
              <w:rPr>
                <w:rFonts w:ascii="Arial" w:hAnsi="Arial" w:cs="Arial"/>
                <w:b/>
                <w:bCs/>
                <w:color w:val="FFFFFF" w:themeColor="background1"/>
                <w:sz w:val="18"/>
                <w:szCs w:val="21"/>
              </w:rPr>
              <w:t xml:space="preserve">Fund / </w:t>
            </w:r>
            <w:proofErr w:type="spellStart"/>
            <w:r w:rsidRPr="006160D0">
              <w:rPr>
                <w:rFonts w:ascii="Arial" w:hAnsi="Arial" w:cs="Arial"/>
                <w:b/>
                <w:bCs/>
                <w:color w:val="FFFFFF" w:themeColor="background1"/>
                <w:sz w:val="18"/>
                <w:szCs w:val="21"/>
              </w:rPr>
              <w:t>Yrs</w:t>
            </w:r>
            <w:proofErr w:type="spellEnd"/>
            <w:r w:rsidRPr="006160D0">
              <w:rPr>
                <w:rFonts w:ascii="Arial" w:hAnsi="Arial" w:cs="Arial"/>
                <w:b/>
                <w:bCs/>
                <w:color w:val="FFFFFF" w:themeColor="background1"/>
                <w:sz w:val="18"/>
                <w:szCs w:val="21"/>
              </w:rPr>
              <w:t xml:space="preserve"> to Retirement</w:t>
            </w:r>
          </w:p>
        </w:tc>
        <w:tc>
          <w:tcPr>
            <w:tcW w:w="833" w:type="dxa"/>
            <w:tcBorders>
              <w:top w:val="single" w:sz="8" w:space="0" w:color="auto"/>
              <w:left w:val="nil"/>
              <w:bottom w:val="single" w:sz="8" w:space="0" w:color="auto"/>
              <w:right w:val="single" w:sz="8" w:space="0" w:color="auto"/>
            </w:tcBorders>
            <w:shd w:val="clear" w:color="auto" w:fill="8064A2" w:themeFill="accent4"/>
            <w:vAlign w:val="center"/>
            <w:hideMark/>
          </w:tcPr>
          <w:p w14:paraId="6E96C774"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b/>
                <w:bCs/>
                <w:color w:val="FFFFFF"/>
                <w:sz w:val="18"/>
                <w:szCs w:val="21"/>
              </w:rPr>
            </w:pPr>
            <w:r w:rsidRPr="006160D0">
              <w:rPr>
                <w:rFonts w:ascii="Arial" w:hAnsi="Arial" w:cs="Arial"/>
                <w:b/>
                <w:bCs/>
                <w:color w:val="FFFFFF" w:themeColor="background1"/>
                <w:sz w:val="18"/>
                <w:szCs w:val="21"/>
              </w:rPr>
              <w:t>10 or more</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hideMark/>
          </w:tcPr>
          <w:p w14:paraId="296E9106"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b/>
                <w:bCs/>
                <w:color w:val="FFFFFF"/>
                <w:sz w:val="18"/>
                <w:szCs w:val="21"/>
              </w:rPr>
            </w:pPr>
            <w:r w:rsidRPr="006160D0">
              <w:rPr>
                <w:rFonts w:ascii="Arial" w:hAnsi="Arial" w:cs="Arial"/>
                <w:b/>
                <w:bCs/>
                <w:color w:val="FFFFFF" w:themeColor="background1"/>
                <w:sz w:val="18"/>
                <w:szCs w:val="21"/>
              </w:rPr>
              <w:t>9</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hideMark/>
          </w:tcPr>
          <w:p w14:paraId="11BE4B9B"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b/>
                <w:bCs/>
                <w:color w:val="FFFFFF"/>
                <w:sz w:val="18"/>
                <w:szCs w:val="21"/>
              </w:rPr>
            </w:pPr>
            <w:r w:rsidRPr="006160D0">
              <w:rPr>
                <w:rFonts w:ascii="Arial" w:hAnsi="Arial" w:cs="Arial"/>
                <w:b/>
                <w:bCs/>
                <w:color w:val="FFFFFF" w:themeColor="background1"/>
                <w:sz w:val="18"/>
                <w:szCs w:val="21"/>
              </w:rPr>
              <w:t>8</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4C67242B"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160D0">
              <w:rPr>
                <w:rFonts w:ascii="Arial" w:hAnsi="Arial" w:cs="Arial"/>
                <w:b/>
                <w:bCs/>
                <w:color w:val="FFFFFF" w:themeColor="background1"/>
                <w:sz w:val="18"/>
                <w:szCs w:val="21"/>
              </w:rPr>
              <w:t>7</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2BE35B91"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160D0">
              <w:rPr>
                <w:rFonts w:ascii="Arial" w:hAnsi="Arial" w:cs="Arial"/>
                <w:b/>
                <w:bCs/>
                <w:color w:val="FFFFFF" w:themeColor="background1"/>
                <w:sz w:val="18"/>
                <w:szCs w:val="21"/>
              </w:rPr>
              <w:t>6</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4C3C8A43"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160D0">
              <w:rPr>
                <w:rFonts w:ascii="Arial" w:hAnsi="Arial" w:cs="Arial"/>
                <w:b/>
                <w:bCs/>
                <w:color w:val="FFFFFF" w:themeColor="background1"/>
                <w:sz w:val="18"/>
                <w:szCs w:val="21"/>
              </w:rPr>
              <w:t>5</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49911C35"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160D0">
              <w:rPr>
                <w:rFonts w:ascii="Arial" w:hAnsi="Arial" w:cs="Arial"/>
                <w:b/>
                <w:bCs/>
                <w:color w:val="FFFFFF" w:themeColor="background1"/>
                <w:sz w:val="18"/>
                <w:szCs w:val="21"/>
              </w:rPr>
              <w:t>4</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5EF3FE5C"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160D0">
              <w:rPr>
                <w:rFonts w:ascii="Arial" w:hAnsi="Arial" w:cs="Arial"/>
                <w:b/>
                <w:bCs/>
                <w:color w:val="FFFFFF" w:themeColor="background1"/>
                <w:sz w:val="18"/>
                <w:szCs w:val="21"/>
              </w:rPr>
              <w:t>3</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5171F8D8"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160D0">
              <w:rPr>
                <w:rFonts w:ascii="Arial" w:hAnsi="Arial" w:cs="Arial"/>
                <w:b/>
                <w:bCs/>
                <w:color w:val="FFFFFF" w:themeColor="background1"/>
                <w:sz w:val="18"/>
                <w:szCs w:val="21"/>
              </w:rPr>
              <w:t>2</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1C64661D"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160D0">
              <w:rPr>
                <w:rFonts w:ascii="Arial" w:hAnsi="Arial" w:cs="Arial"/>
                <w:b/>
                <w:bCs/>
                <w:color w:val="FFFFFF" w:themeColor="background1"/>
                <w:sz w:val="18"/>
                <w:szCs w:val="21"/>
              </w:rPr>
              <w:t>1</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52AE32BD"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160D0">
              <w:rPr>
                <w:rFonts w:ascii="Arial" w:hAnsi="Arial" w:cs="Arial"/>
                <w:b/>
                <w:bCs/>
                <w:color w:val="FFFFFF" w:themeColor="background1"/>
                <w:sz w:val="18"/>
                <w:szCs w:val="21"/>
              </w:rPr>
              <w:t>0</w:t>
            </w:r>
          </w:p>
        </w:tc>
      </w:tr>
      <w:tr w:rsidR="007201E1" w:rsidRPr="006160D0" w14:paraId="7EC47DF7" w14:textId="77777777" w:rsidTr="007201E1">
        <w:trPr>
          <w:trHeight w:val="513"/>
        </w:trPr>
        <w:tc>
          <w:tcPr>
            <w:tcW w:w="1277" w:type="dxa"/>
            <w:tcBorders>
              <w:top w:val="nil"/>
              <w:left w:val="single" w:sz="8" w:space="0" w:color="auto"/>
              <w:bottom w:val="single" w:sz="8" w:space="0" w:color="auto"/>
              <w:right w:val="single" w:sz="8" w:space="0" w:color="auto"/>
            </w:tcBorders>
            <w:shd w:val="clear" w:color="auto" w:fill="auto"/>
            <w:noWrap/>
            <w:vAlign w:val="center"/>
          </w:tcPr>
          <w:p w14:paraId="67BCB025" w14:textId="7796A958"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color w:val="000000"/>
                <w:sz w:val="18"/>
                <w:szCs w:val="21"/>
              </w:rPr>
            </w:pPr>
            <w:r>
              <w:rPr>
                <w:rFonts w:ascii="Arial" w:hAnsi="Arial" w:cs="Arial"/>
                <w:color w:val="000000"/>
                <w:sz w:val="18"/>
                <w:szCs w:val="21"/>
              </w:rPr>
              <w:t>Newton Real Return Fund</w:t>
            </w:r>
          </w:p>
        </w:tc>
        <w:tc>
          <w:tcPr>
            <w:tcW w:w="833" w:type="dxa"/>
            <w:tcBorders>
              <w:top w:val="nil"/>
              <w:left w:val="nil"/>
              <w:bottom w:val="single" w:sz="8" w:space="0" w:color="auto"/>
              <w:right w:val="single" w:sz="8" w:space="0" w:color="auto"/>
            </w:tcBorders>
            <w:shd w:val="clear" w:color="auto" w:fill="auto"/>
            <w:noWrap/>
            <w:vAlign w:val="center"/>
          </w:tcPr>
          <w:p w14:paraId="4CBE78A5" w14:textId="5118A4EE"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color w:val="000000"/>
                <w:sz w:val="18"/>
                <w:szCs w:val="21"/>
              </w:rPr>
            </w:pPr>
            <w:r>
              <w:rPr>
                <w:rFonts w:ascii="Arial" w:hAnsi="Arial" w:cs="Arial"/>
                <w:color w:val="000000"/>
                <w:sz w:val="18"/>
                <w:szCs w:val="21"/>
              </w:rPr>
              <w:t>50%</w:t>
            </w:r>
          </w:p>
        </w:tc>
        <w:tc>
          <w:tcPr>
            <w:tcW w:w="777" w:type="dxa"/>
            <w:tcBorders>
              <w:top w:val="nil"/>
              <w:left w:val="nil"/>
              <w:bottom w:val="single" w:sz="8" w:space="0" w:color="auto"/>
              <w:right w:val="single" w:sz="8" w:space="0" w:color="auto"/>
            </w:tcBorders>
            <w:shd w:val="clear" w:color="auto" w:fill="auto"/>
            <w:vAlign w:val="center"/>
          </w:tcPr>
          <w:p w14:paraId="42273FC9" w14:textId="4B2BD047" w:rsidR="007201E1" w:rsidRPr="006160D0" w:rsidRDefault="007201E1" w:rsidP="007201E1">
            <w:pPr>
              <w:spacing w:line="240" w:lineRule="auto"/>
              <w:jc w:val="center"/>
              <w:rPr>
                <w:rFonts w:ascii="Arial" w:hAnsi="Arial" w:cs="Arial"/>
                <w:sz w:val="18"/>
                <w:szCs w:val="21"/>
              </w:rPr>
            </w:pPr>
            <w:r>
              <w:rPr>
                <w:rFonts w:ascii="Arial" w:hAnsi="Arial" w:cs="Arial"/>
                <w:sz w:val="18"/>
                <w:szCs w:val="21"/>
              </w:rPr>
              <w:t>45%</w:t>
            </w:r>
          </w:p>
        </w:tc>
        <w:tc>
          <w:tcPr>
            <w:tcW w:w="777" w:type="dxa"/>
            <w:tcBorders>
              <w:top w:val="nil"/>
              <w:left w:val="nil"/>
              <w:bottom w:val="single" w:sz="8" w:space="0" w:color="auto"/>
              <w:right w:val="single" w:sz="8" w:space="0" w:color="auto"/>
            </w:tcBorders>
            <w:shd w:val="clear" w:color="auto" w:fill="auto"/>
            <w:vAlign w:val="center"/>
          </w:tcPr>
          <w:p w14:paraId="76C6E6CC" w14:textId="446A6EF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color w:val="000000"/>
                <w:sz w:val="18"/>
                <w:szCs w:val="21"/>
              </w:rPr>
            </w:pPr>
            <w:r>
              <w:rPr>
                <w:rFonts w:ascii="Arial" w:hAnsi="Arial" w:cs="Arial"/>
                <w:color w:val="000000"/>
                <w:sz w:val="18"/>
                <w:szCs w:val="21"/>
              </w:rPr>
              <w:t>40%</w:t>
            </w:r>
          </w:p>
        </w:tc>
        <w:tc>
          <w:tcPr>
            <w:tcW w:w="777" w:type="dxa"/>
            <w:tcBorders>
              <w:top w:val="nil"/>
              <w:left w:val="nil"/>
              <w:bottom w:val="single" w:sz="8" w:space="0" w:color="auto"/>
              <w:right w:val="single" w:sz="8" w:space="0" w:color="auto"/>
            </w:tcBorders>
            <w:vAlign w:val="center"/>
          </w:tcPr>
          <w:p w14:paraId="479105B6" w14:textId="1137AC54"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35%</w:t>
            </w:r>
          </w:p>
        </w:tc>
        <w:tc>
          <w:tcPr>
            <w:tcW w:w="777" w:type="dxa"/>
            <w:tcBorders>
              <w:top w:val="nil"/>
              <w:left w:val="nil"/>
              <w:bottom w:val="single" w:sz="8" w:space="0" w:color="auto"/>
              <w:right w:val="single" w:sz="8" w:space="0" w:color="auto"/>
            </w:tcBorders>
            <w:vAlign w:val="center"/>
          </w:tcPr>
          <w:p w14:paraId="2194FCA6" w14:textId="7D5CB952"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30%</w:t>
            </w:r>
          </w:p>
        </w:tc>
        <w:tc>
          <w:tcPr>
            <w:tcW w:w="777" w:type="dxa"/>
            <w:tcBorders>
              <w:top w:val="nil"/>
              <w:left w:val="nil"/>
              <w:bottom w:val="single" w:sz="8" w:space="0" w:color="auto"/>
              <w:right w:val="single" w:sz="8" w:space="0" w:color="auto"/>
            </w:tcBorders>
            <w:vAlign w:val="center"/>
          </w:tcPr>
          <w:p w14:paraId="6BAD2480" w14:textId="3A1BBD32"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25%</w:t>
            </w:r>
          </w:p>
        </w:tc>
        <w:tc>
          <w:tcPr>
            <w:tcW w:w="777" w:type="dxa"/>
            <w:tcBorders>
              <w:top w:val="nil"/>
              <w:left w:val="nil"/>
              <w:bottom w:val="single" w:sz="8" w:space="0" w:color="auto"/>
              <w:right w:val="single" w:sz="8" w:space="0" w:color="auto"/>
            </w:tcBorders>
            <w:vAlign w:val="center"/>
          </w:tcPr>
          <w:p w14:paraId="6C5E252E" w14:textId="1E1BF7C8"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20%</w:t>
            </w:r>
          </w:p>
        </w:tc>
        <w:tc>
          <w:tcPr>
            <w:tcW w:w="777" w:type="dxa"/>
            <w:tcBorders>
              <w:top w:val="nil"/>
              <w:left w:val="nil"/>
              <w:bottom w:val="single" w:sz="8" w:space="0" w:color="auto"/>
              <w:right w:val="single" w:sz="8" w:space="0" w:color="auto"/>
            </w:tcBorders>
            <w:vAlign w:val="center"/>
          </w:tcPr>
          <w:p w14:paraId="72C53817" w14:textId="4F458825"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15%</w:t>
            </w:r>
          </w:p>
        </w:tc>
        <w:tc>
          <w:tcPr>
            <w:tcW w:w="777" w:type="dxa"/>
            <w:tcBorders>
              <w:top w:val="nil"/>
              <w:left w:val="nil"/>
              <w:bottom w:val="single" w:sz="8" w:space="0" w:color="auto"/>
              <w:right w:val="single" w:sz="8" w:space="0" w:color="auto"/>
            </w:tcBorders>
            <w:vAlign w:val="center"/>
          </w:tcPr>
          <w:p w14:paraId="1305B73B" w14:textId="0B6E1342"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10%</w:t>
            </w:r>
          </w:p>
        </w:tc>
        <w:tc>
          <w:tcPr>
            <w:tcW w:w="777" w:type="dxa"/>
            <w:tcBorders>
              <w:top w:val="nil"/>
              <w:left w:val="nil"/>
              <w:bottom w:val="single" w:sz="8" w:space="0" w:color="auto"/>
              <w:right w:val="single" w:sz="8" w:space="0" w:color="auto"/>
            </w:tcBorders>
            <w:vAlign w:val="center"/>
          </w:tcPr>
          <w:p w14:paraId="5D530310" w14:textId="4BBD891E"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5%</w:t>
            </w:r>
          </w:p>
        </w:tc>
        <w:tc>
          <w:tcPr>
            <w:tcW w:w="777" w:type="dxa"/>
            <w:tcBorders>
              <w:top w:val="nil"/>
              <w:left w:val="nil"/>
              <w:bottom w:val="single" w:sz="8" w:space="0" w:color="auto"/>
              <w:right w:val="single" w:sz="8" w:space="0" w:color="auto"/>
            </w:tcBorders>
            <w:vAlign w:val="center"/>
          </w:tcPr>
          <w:p w14:paraId="54A9523B"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sz w:val="18"/>
                <w:szCs w:val="21"/>
              </w:rPr>
            </w:pPr>
            <w:r w:rsidRPr="006160D0">
              <w:rPr>
                <w:rFonts w:ascii="Arial" w:hAnsi="Arial" w:cs="Arial"/>
                <w:sz w:val="18"/>
                <w:szCs w:val="21"/>
              </w:rPr>
              <w:t>0%</w:t>
            </w:r>
          </w:p>
        </w:tc>
      </w:tr>
      <w:tr w:rsidR="007201E1" w:rsidRPr="006160D0" w14:paraId="2F8AE80D" w14:textId="77777777" w:rsidTr="007201E1">
        <w:trPr>
          <w:trHeight w:val="563"/>
        </w:trPr>
        <w:tc>
          <w:tcPr>
            <w:tcW w:w="1277" w:type="dxa"/>
            <w:tcBorders>
              <w:top w:val="nil"/>
              <w:left w:val="single" w:sz="8" w:space="0" w:color="auto"/>
              <w:bottom w:val="single" w:sz="4" w:space="0" w:color="auto"/>
              <w:right w:val="single" w:sz="8" w:space="0" w:color="auto"/>
            </w:tcBorders>
            <w:shd w:val="clear" w:color="auto" w:fill="auto"/>
            <w:noWrap/>
            <w:vAlign w:val="center"/>
          </w:tcPr>
          <w:p w14:paraId="53217972" w14:textId="4A6C3D1E" w:rsidR="007201E1" w:rsidRPr="006160D0" w:rsidRDefault="007201E1" w:rsidP="007201E1">
            <w:pPr>
              <w:tabs>
                <w:tab w:val="clear" w:pos="907"/>
                <w:tab w:val="clear" w:pos="9185"/>
                <w:tab w:val="left" w:pos="2113"/>
              </w:tabs>
              <w:jc w:val="center"/>
              <w:rPr>
                <w:rFonts w:ascii="Arial" w:hAnsi="Arial" w:cs="Arial"/>
                <w:sz w:val="18"/>
                <w:szCs w:val="21"/>
              </w:rPr>
            </w:pPr>
            <w:r>
              <w:rPr>
                <w:rFonts w:ascii="Arial" w:hAnsi="Arial" w:cs="Arial"/>
                <w:sz w:val="18"/>
                <w:szCs w:val="21"/>
              </w:rPr>
              <w:t>L&amp;G Global Equity 50:50 Fund</w:t>
            </w:r>
          </w:p>
        </w:tc>
        <w:tc>
          <w:tcPr>
            <w:tcW w:w="833" w:type="dxa"/>
            <w:tcBorders>
              <w:top w:val="nil"/>
              <w:left w:val="nil"/>
              <w:bottom w:val="single" w:sz="4" w:space="0" w:color="auto"/>
              <w:right w:val="single" w:sz="8" w:space="0" w:color="auto"/>
            </w:tcBorders>
            <w:shd w:val="clear" w:color="auto" w:fill="auto"/>
            <w:noWrap/>
            <w:vAlign w:val="center"/>
          </w:tcPr>
          <w:p w14:paraId="463CE90C" w14:textId="1A0E427A"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color w:val="000000"/>
                <w:sz w:val="18"/>
                <w:szCs w:val="21"/>
              </w:rPr>
            </w:pPr>
            <w:r>
              <w:rPr>
                <w:rFonts w:ascii="Arial" w:hAnsi="Arial" w:cs="Arial"/>
                <w:color w:val="000000"/>
                <w:sz w:val="18"/>
                <w:szCs w:val="21"/>
              </w:rPr>
              <w:t>50%</w:t>
            </w:r>
          </w:p>
        </w:tc>
        <w:tc>
          <w:tcPr>
            <w:tcW w:w="777" w:type="dxa"/>
            <w:tcBorders>
              <w:top w:val="nil"/>
              <w:left w:val="nil"/>
              <w:bottom w:val="single" w:sz="4" w:space="0" w:color="auto"/>
              <w:right w:val="single" w:sz="8" w:space="0" w:color="auto"/>
            </w:tcBorders>
            <w:shd w:val="clear" w:color="auto" w:fill="auto"/>
            <w:vAlign w:val="center"/>
          </w:tcPr>
          <w:p w14:paraId="29C55B03" w14:textId="4B3826A6" w:rsidR="007201E1" w:rsidRPr="006160D0" w:rsidRDefault="007201E1" w:rsidP="007201E1">
            <w:pPr>
              <w:tabs>
                <w:tab w:val="left" w:pos="6300"/>
              </w:tabs>
              <w:spacing w:line="240" w:lineRule="auto"/>
              <w:ind w:right="58"/>
              <w:jc w:val="center"/>
              <w:rPr>
                <w:rFonts w:ascii="Arial" w:hAnsi="Arial" w:cs="Arial"/>
                <w:sz w:val="18"/>
                <w:szCs w:val="21"/>
              </w:rPr>
            </w:pPr>
            <w:r>
              <w:rPr>
                <w:rFonts w:ascii="Arial" w:hAnsi="Arial" w:cs="Arial"/>
                <w:sz w:val="18"/>
                <w:szCs w:val="21"/>
              </w:rPr>
              <w:t>45%</w:t>
            </w:r>
          </w:p>
        </w:tc>
        <w:tc>
          <w:tcPr>
            <w:tcW w:w="777" w:type="dxa"/>
            <w:tcBorders>
              <w:top w:val="nil"/>
              <w:left w:val="nil"/>
              <w:bottom w:val="single" w:sz="4" w:space="0" w:color="auto"/>
              <w:right w:val="single" w:sz="8" w:space="0" w:color="auto"/>
            </w:tcBorders>
            <w:shd w:val="clear" w:color="auto" w:fill="auto"/>
            <w:vAlign w:val="center"/>
          </w:tcPr>
          <w:p w14:paraId="134139EA" w14:textId="6E4A67D4"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color w:val="000000"/>
                <w:sz w:val="18"/>
                <w:szCs w:val="21"/>
              </w:rPr>
            </w:pPr>
            <w:r>
              <w:rPr>
                <w:rFonts w:ascii="Arial" w:hAnsi="Arial" w:cs="Arial"/>
                <w:color w:val="000000"/>
                <w:sz w:val="18"/>
                <w:szCs w:val="21"/>
              </w:rPr>
              <w:t>40%</w:t>
            </w:r>
          </w:p>
        </w:tc>
        <w:tc>
          <w:tcPr>
            <w:tcW w:w="777" w:type="dxa"/>
            <w:tcBorders>
              <w:top w:val="nil"/>
              <w:left w:val="nil"/>
              <w:bottom w:val="single" w:sz="4" w:space="0" w:color="auto"/>
              <w:right w:val="single" w:sz="8" w:space="0" w:color="auto"/>
            </w:tcBorders>
            <w:vAlign w:val="center"/>
          </w:tcPr>
          <w:p w14:paraId="485785D9" w14:textId="7AB43810"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35%</w:t>
            </w:r>
          </w:p>
        </w:tc>
        <w:tc>
          <w:tcPr>
            <w:tcW w:w="777" w:type="dxa"/>
            <w:tcBorders>
              <w:top w:val="nil"/>
              <w:left w:val="nil"/>
              <w:bottom w:val="single" w:sz="4" w:space="0" w:color="auto"/>
              <w:right w:val="single" w:sz="8" w:space="0" w:color="auto"/>
            </w:tcBorders>
            <w:vAlign w:val="center"/>
          </w:tcPr>
          <w:p w14:paraId="60B6A661" w14:textId="631AAE5F"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30%</w:t>
            </w:r>
          </w:p>
        </w:tc>
        <w:tc>
          <w:tcPr>
            <w:tcW w:w="777" w:type="dxa"/>
            <w:tcBorders>
              <w:top w:val="nil"/>
              <w:left w:val="nil"/>
              <w:bottom w:val="single" w:sz="4" w:space="0" w:color="auto"/>
              <w:right w:val="single" w:sz="8" w:space="0" w:color="auto"/>
            </w:tcBorders>
            <w:vAlign w:val="center"/>
          </w:tcPr>
          <w:p w14:paraId="5A19BB31" w14:textId="50A047B5"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25%</w:t>
            </w:r>
          </w:p>
        </w:tc>
        <w:tc>
          <w:tcPr>
            <w:tcW w:w="777" w:type="dxa"/>
            <w:tcBorders>
              <w:top w:val="nil"/>
              <w:left w:val="nil"/>
              <w:bottom w:val="single" w:sz="4" w:space="0" w:color="auto"/>
              <w:right w:val="single" w:sz="8" w:space="0" w:color="auto"/>
            </w:tcBorders>
            <w:vAlign w:val="center"/>
          </w:tcPr>
          <w:p w14:paraId="282F2C7B" w14:textId="0406FFB4"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20%</w:t>
            </w:r>
          </w:p>
        </w:tc>
        <w:tc>
          <w:tcPr>
            <w:tcW w:w="777" w:type="dxa"/>
            <w:tcBorders>
              <w:top w:val="nil"/>
              <w:left w:val="nil"/>
              <w:bottom w:val="single" w:sz="4" w:space="0" w:color="auto"/>
              <w:right w:val="single" w:sz="8" w:space="0" w:color="auto"/>
            </w:tcBorders>
            <w:vAlign w:val="center"/>
          </w:tcPr>
          <w:p w14:paraId="34CA30D1" w14:textId="710EC740"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15%</w:t>
            </w:r>
          </w:p>
        </w:tc>
        <w:tc>
          <w:tcPr>
            <w:tcW w:w="777" w:type="dxa"/>
            <w:tcBorders>
              <w:top w:val="nil"/>
              <w:left w:val="nil"/>
              <w:bottom w:val="single" w:sz="4" w:space="0" w:color="auto"/>
              <w:right w:val="single" w:sz="8" w:space="0" w:color="auto"/>
            </w:tcBorders>
            <w:vAlign w:val="center"/>
          </w:tcPr>
          <w:p w14:paraId="4BBF9C5D" w14:textId="6F0F3E41"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10%</w:t>
            </w:r>
          </w:p>
        </w:tc>
        <w:tc>
          <w:tcPr>
            <w:tcW w:w="777" w:type="dxa"/>
            <w:tcBorders>
              <w:top w:val="nil"/>
              <w:left w:val="nil"/>
              <w:bottom w:val="single" w:sz="4" w:space="0" w:color="auto"/>
              <w:right w:val="single" w:sz="8" w:space="0" w:color="auto"/>
            </w:tcBorders>
            <w:vAlign w:val="center"/>
          </w:tcPr>
          <w:p w14:paraId="10DE7ED8" w14:textId="047785ED"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5%</w:t>
            </w:r>
          </w:p>
        </w:tc>
        <w:tc>
          <w:tcPr>
            <w:tcW w:w="777" w:type="dxa"/>
            <w:tcBorders>
              <w:top w:val="nil"/>
              <w:left w:val="nil"/>
              <w:bottom w:val="single" w:sz="4" w:space="0" w:color="auto"/>
              <w:right w:val="single" w:sz="8" w:space="0" w:color="auto"/>
            </w:tcBorders>
            <w:vAlign w:val="center"/>
          </w:tcPr>
          <w:p w14:paraId="42B4DCE4" w14:textId="1DB3E2C2"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sz w:val="18"/>
                <w:szCs w:val="21"/>
              </w:rPr>
            </w:pPr>
            <w:r w:rsidRPr="006160D0">
              <w:rPr>
                <w:rFonts w:ascii="Arial" w:hAnsi="Arial" w:cs="Arial"/>
                <w:sz w:val="18"/>
                <w:szCs w:val="21"/>
              </w:rPr>
              <w:t>0%</w:t>
            </w:r>
          </w:p>
        </w:tc>
      </w:tr>
      <w:tr w:rsidR="007201E1" w:rsidRPr="006160D0" w14:paraId="36CF6C98" w14:textId="77777777" w:rsidTr="007201E1">
        <w:trPr>
          <w:trHeight w:val="563"/>
        </w:trPr>
        <w:tc>
          <w:tcPr>
            <w:tcW w:w="1277" w:type="dxa"/>
            <w:tcBorders>
              <w:top w:val="nil"/>
              <w:left w:val="single" w:sz="8" w:space="0" w:color="auto"/>
              <w:bottom w:val="single" w:sz="4" w:space="0" w:color="auto"/>
              <w:right w:val="single" w:sz="8" w:space="0" w:color="auto"/>
            </w:tcBorders>
            <w:shd w:val="clear" w:color="auto" w:fill="auto"/>
            <w:noWrap/>
            <w:vAlign w:val="center"/>
          </w:tcPr>
          <w:p w14:paraId="1A778244" w14:textId="4E85E54D" w:rsidR="007201E1" w:rsidRDefault="007201E1" w:rsidP="007201E1">
            <w:pPr>
              <w:tabs>
                <w:tab w:val="clear" w:pos="907"/>
                <w:tab w:val="clear" w:pos="9185"/>
                <w:tab w:val="left" w:pos="2113"/>
              </w:tabs>
              <w:jc w:val="center"/>
              <w:rPr>
                <w:rFonts w:ascii="Arial" w:hAnsi="Arial" w:cs="Arial"/>
                <w:sz w:val="18"/>
                <w:szCs w:val="21"/>
              </w:rPr>
            </w:pPr>
            <w:r>
              <w:rPr>
                <w:rFonts w:ascii="Arial" w:hAnsi="Arial" w:cs="Arial"/>
                <w:sz w:val="18"/>
                <w:szCs w:val="21"/>
              </w:rPr>
              <w:t>L&amp;G Pre-Retirement Fund</w:t>
            </w:r>
          </w:p>
        </w:tc>
        <w:tc>
          <w:tcPr>
            <w:tcW w:w="833" w:type="dxa"/>
            <w:tcBorders>
              <w:top w:val="nil"/>
              <w:left w:val="nil"/>
              <w:bottom w:val="single" w:sz="4" w:space="0" w:color="auto"/>
              <w:right w:val="single" w:sz="8" w:space="0" w:color="auto"/>
            </w:tcBorders>
            <w:shd w:val="clear" w:color="auto" w:fill="auto"/>
            <w:noWrap/>
            <w:vAlign w:val="center"/>
          </w:tcPr>
          <w:p w14:paraId="75CD19CB" w14:textId="45A5BB33" w:rsidR="007201E1" w:rsidRDefault="00BA6C94" w:rsidP="007201E1">
            <w:pPr>
              <w:suppressLineNumbers w:val="0"/>
              <w:tabs>
                <w:tab w:val="clear" w:pos="907"/>
                <w:tab w:val="clear" w:pos="9185"/>
              </w:tabs>
              <w:suppressAutoHyphens w:val="0"/>
              <w:spacing w:line="240" w:lineRule="auto"/>
              <w:jc w:val="center"/>
              <w:rPr>
                <w:rFonts w:ascii="Arial" w:hAnsi="Arial" w:cs="Arial"/>
                <w:color w:val="000000"/>
                <w:sz w:val="18"/>
                <w:szCs w:val="21"/>
              </w:rPr>
            </w:pPr>
            <w:r>
              <w:rPr>
                <w:rFonts w:ascii="Arial" w:hAnsi="Arial" w:cs="Arial"/>
                <w:color w:val="000000"/>
                <w:sz w:val="18"/>
                <w:szCs w:val="21"/>
              </w:rPr>
              <w:t>0%</w:t>
            </w:r>
          </w:p>
        </w:tc>
        <w:tc>
          <w:tcPr>
            <w:tcW w:w="777" w:type="dxa"/>
            <w:tcBorders>
              <w:top w:val="nil"/>
              <w:left w:val="nil"/>
              <w:bottom w:val="single" w:sz="4" w:space="0" w:color="auto"/>
              <w:right w:val="single" w:sz="8" w:space="0" w:color="auto"/>
            </w:tcBorders>
            <w:shd w:val="clear" w:color="auto" w:fill="auto"/>
            <w:vAlign w:val="center"/>
          </w:tcPr>
          <w:p w14:paraId="586373F2" w14:textId="020B729E" w:rsidR="007201E1" w:rsidRDefault="00BA6C94" w:rsidP="007201E1">
            <w:pPr>
              <w:tabs>
                <w:tab w:val="left" w:pos="6300"/>
              </w:tabs>
              <w:spacing w:line="240" w:lineRule="auto"/>
              <w:ind w:right="58"/>
              <w:jc w:val="center"/>
              <w:rPr>
                <w:rFonts w:ascii="Arial" w:hAnsi="Arial" w:cs="Arial"/>
                <w:sz w:val="18"/>
                <w:szCs w:val="21"/>
              </w:rPr>
            </w:pPr>
            <w:r>
              <w:rPr>
                <w:rFonts w:ascii="Arial" w:hAnsi="Arial" w:cs="Arial"/>
                <w:sz w:val="18"/>
                <w:szCs w:val="21"/>
              </w:rPr>
              <w:t>10%</w:t>
            </w:r>
          </w:p>
        </w:tc>
        <w:tc>
          <w:tcPr>
            <w:tcW w:w="777" w:type="dxa"/>
            <w:tcBorders>
              <w:top w:val="nil"/>
              <w:left w:val="nil"/>
              <w:bottom w:val="single" w:sz="4" w:space="0" w:color="auto"/>
              <w:right w:val="single" w:sz="8" w:space="0" w:color="auto"/>
            </w:tcBorders>
            <w:shd w:val="clear" w:color="auto" w:fill="auto"/>
            <w:vAlign w:val="center"/>
          </w:tcPr>
          <w:p w14:paraId="7A64026C" w14:textId="0C38B7C5" w:rsidR="007201E1" w:rsidRDefault="00BA6C94" w:rsidP="007201E1">
            <w:pPr>
              <w:suppressLineNumbers w:val="0"/>
              <w:tabs>
                <w:tab w:val="clear" w:pos="907"/>
                <w:tab w:val="clear" w:pos="9185"/>
              </w:tabs>
              <w:suppressAutoHyphens w:val="0"/>
              <w:spacing w:line="240" w:lineRule="auto"/>
              <w:jc w:val="center"/>
              <w:rPr>
                <w:rFonts w:ascii="Arial" w:hAnsi="Arial" w:cs="Arial"/>
                <w:color w:val="000000"/>
                <w:sz w:val="18"/>
                <w:szCs w:val="21"/>
              </w:rPr>
            </w:pPr>
            <w:r>
              <w:rPr>
                <w:rFonts w:ascii="Arial" w:hAnsi="Arial" w:cs="Arial"/>
                <w:color w:val="000000"/>
                <w:sz w:val="18"/>
                <w:szCs w:val="21"/>
              </w:rPr>
              <w:t>20%</w:t>
            </w:r>
          </w:p>
        </w:tc>
        <w:tc>
          <w:tcPr>
            <w:tcW w:w="777" w:type="dxa"/>
            <w:tcBorders>
              <w:top w:val="nil"/>
              <w:left w:val="nil"/>
              <w:bottom w:val="single" w:sz="4" w:space="0" w:color="auto"/>
              <w:right w:val="single" w:sz="8" w:space="0" w:color="auto"/>
            </w:tcBorders>
            <w:vAlign w:val="center"/>
          </w:tcPr>
          <w:p w14:paraId="69BDDE92" w14:textId="76EEC606" w:rsidR="007201E1" w:rsidRDefault="00BA6C94" w:rsidP="007201E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30%</w:t>
            </w:r>
          </w:p>
        </w:tc>
        <w:tc>
          <w:tcPr>
            <w:tcW w:w="777" w:type="dxa"/>
            <w:tcBorders>
              <w:top w:val="nil"/>
              <w:left w:val="nil"/>
              <w:bottom w:val="single" w:sz="4" w:space="0" w:color="auto"/>
              <w:right w:val="single" w:sz="8" w:space="0" w:color="auto"/>
            </w:tcBorders>
            <w:vAlign w:val="center"/>
          </w:tcPr>
          <w:p w14:paraId="34107243" w14:textId="412FD3A0" w:rsidR="007201E1" w:rsidRDefault="00BA6C94" w:rsidP="007201E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40%</w:t>
            </w:r>
          </w:p>
        </w:tc>
        <w:tc>
          <w:tcPr>
            <w:tcW w:w="777" w:type="dxa"/>
            <w:tcBorders>
              <w:top w:val="nil"/>
              <w:left w:val="nil"/>
              <w:bottom w:val="single" w:sz="4" w:space="0" w:color="auto"/>
              <w:right w:val="single" w:sz="8" w:space="0" w:color="auto"/>
            </w:tcBorders>
            <w:vAlign w:val="center"/>
          </w:tcPr>
          <w:p w14:paraId="75FC4B67" w14:textId="62D66AA1" w:rsidR="007201E1" w:rsidRDefault="00BA6C94" w:rsidP="007201E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50%</w:t>
            </w:r>
          </w:p>
        </w:tc>
        <w:tc>
          <w:tcPr>
            <w:tcW w:w="777" w:type="dxa"/>
            <w:tcBorders>
              <w:top w:val="nil"/>
              <w:left w:val="nil"/>
              <w:bottom w:val="single" w:sz="4" w:space="0" w:color="auto"/>
              <w:right w:val="single" w:sz="8" w:space="0" w:color="auto"/>
            </w:tcBorders>
            <w:vAlign w:val="center"/>
          </w:tcPr>
          <w:p w14:paraId="6AE5B12A" w14:textId="56C58398" w:rsidR="007201E1" w:rsidRDefault="00BA6C94" w:rsidP="007201E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60%</w:t>
            </w:r>
          </w:p>
        </w:tc>
        <w:tc>
          <w:tcPr>
            <w:tcW w:w="777" w:type="dxa"/>
            <w:tcBorders>
              <w:top w:val="nil"/>
              <w:left w:val="nil"/>
              <w:bottom w:val="single" w:sz="4" w:space="0" w:color="auto"/>
              <w:right w:val="single" w:sz="8" w:space="0" w:color="auto"/>
            </w:tcBorders>
            <w:vAlign w:val="center"/>
          </w:tcPr>
          <w:p w14:paraId="08CA971D" w14:textId="725647A4" w:rsidR="007201E1" w:rsidRDefault="00BA6C94" w:rsidP="007201E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70%</w:t>
            </w:r>
          </w:p>
        </w:tc>
        <w:tc>
          <w:tcPr>
            <w:tcW w:w="777" w:type="dxa"/>
            <w:tcBorders>
              <w:top w:val="nil"/>
              <w:left w:val="nil"/>
              <w:bottom w:val="single" w:sz="4" w:space="0" w:color="auto"/>
              <w:right w:val="single" w:sz="8" w:space="0" w:color="auto"/>
            </w:tcBorders>
            <w:vAlign w:val="center"/>
          </w:tcPr>
          <w:p w14:paraId="5F13FAF1" w14:textId="73074E38" w:rsidR="007201E1" w:rsidRDefault="00BA6C94" w:rsidP="007201E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75%</w:t>
            </w:r>
          </w:p>
        </w:tc>
        <w:tc>
          <w:tcPr>
            <w:tcW w:w="777" w:type="dxa"/>
            <w:tcBorders>
              <w:top w:val="nil"/>
              <w:left w:val="nil"/>
              <w:bottom w:val="single" w:sz="4" w:space="0" w:color="auto"/>
              <w:right w:val="single" w:sz="8" w:space="0" w:color="auto"/>
            </w:tcBorders>
            <w:vAlign w:val="center"/>
          </w:tcPr>
          <w:p w14:paraId="1C8ECD5D" w14:textId="7A50AD0E" w:rsidR="007201E1" w:rsidRDefault="00BA6C94" w:rsidP="007201E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75%</w:t>
            </w:r>
          </w:p>
        </w:tc>
        <w:tc>
          <w:tcPr>
            <w:tcW w:w="777" w:type="dxa"/>
            <w:tcBorders>
              <w:top w:val="nil"/>
              <w:left w:val="nil"/>
              <w:bottom w:val="single" w:sz="4" w:space="0" w:color="auto"/>
              <w:right w:val="single" w:sz="8" w:space="0" w:color="auto"/>
            </w:tcBorders>
            <w:vAlign w:val="center"/>
          </w:tcPr>
          <w:p w14:paraId="2D692C26" w14:textId="77463AAA" w:rsidR="007201E1" w:rsidRPr="006160D0" w:rsidRDefault="00BA6C94" w:rsidP="007201E1">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75%</w:t>
            </w:r>
          </w:p>
        </w:tc>
      </w:tr>
      <w:tr w:rsidR="007201E1" w:rsidRPr="006160D0" w14:paraId="7D8ACC25" w14:textId="77777777" w:rsidTr="007201E1">
        <w:trPr>
          <w:trHeight w:val="551"/>
        </w:trPr>
        <w:tc>
          <w:tcPr>
            <w:tcW w:w="127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EF510A9"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L&amp;G Cash Fund</w:t>
            </w:r>
          </w:p>
        </w:tc>
        <w:tc>
          <w:tcPr>
            <w:tcW w:w="833" w:type="dxa"/>
            <w:tcBorders>
              <w:top w:val="single" w:sz="4" w:space="0" w:color="auto"/>
              <w:left w:val="nil"/>
              <w:bottom w:val="single" w:sz="8" w:space="0" w:color="auto"/>
              <w:right w:val="single" w:sz="8" w:space="0" w:color="auto"/>
            </w:tcBorders>
            <w:shd w:val="clear" w:color="auto" w:fill="auto"/>
            <w:noWrap/>
            <w:vAlign w:val="center"/>
          </w:tcPr>
          <w:p w14:paraId="1A8D30B6"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0%</w:t>
            </w:r>
          </w:p>
        </w:tc>
        <w:tc>
          <w:tcPr>
            <w:tcW w:w="777" w:type="dxa"/>
            <w:tcBorders>
              <w:top w:val="single" w:sz="4" w:space="0" w:color="auto"/>
              <w:left w:val="nil"/>
              <w:bottom w:val="single" w:sz="8" w:space="0" w:color="auto"/>
              <w:right w:val="single" w:sz="8" w:space="0" w:color="auto"/>
            </w:tcBorders>
            <w:shd w:val="clear" w:color="auto" w:fill="auto"/>
            <w:vAlign w:val="center"/>
          </w:tcPr>
          <w:p w14:paraId="35927FC6"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0%</w:t>
            </w:r>
          </w:p>
        </w:tc>
        <w:tc>
          <w:tcPr>
            <w:tcW w:w="777" w:type="dxa"/>
            <w:tcBorders>
              <w:top w:val="single" w:sz="4" w:space="0" w:color="auto"/>
              <w:left w:val="nil"/>
              <w:bottom w:val="single" w:sz="8" w:space="0" w:color="auto"/>
              <w:right w:val="single" w:sz="8" w:space="0" w:color="auto"/>
            </w:tcBorders>
            <w:shd w:val="clear" w:color="auto" w:fill="auto"/>
            <w:vAlign w:val="center"/>
          </w:tcPr>
          <w:p w14:paraId="503C979C"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0%</w:t>
            </w:r>
          </w:p>
        </w:tc>
        <w:tc>
          <w:tcPr>
            <w:tcW w:w="777" w:type="dxa"/>
            <w:tcBorders>
              <w:top w:val="single" w:sz="4" w:space="0" w:color="auto"/>
              <w:left w:val="nil"/>
              <w:bottom w:val="single" w:sz="8" w:space="0" w:color="auto"/>
              <w:right w:val="single" w:sz="8" w:space="0" w:color="auto"/>
            </w:tcBorders>
            <w:vAlign w:val="center"/>
          </w:tcPr>
          <w:p w14:paraId="3F911CDB"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0%</w:t>
            </w:r>
          </w:p>
        </w:tc>
        <w:tc>
          <w:tcPr>
            <w:tcW w:w="777" w:type="dxa"/>
            <w:tcBorders>
              <w:top w:val="single" w:sz="4" w:space="0" w:color="auto"/>
              <w:left w:val="nil"/>
              <w:bottom w:val="single" w:sz="8" w:space="0" w:color="auto"/>
              <w:right w:val="single" w:sz="8" w:space="0" w:color="auto"/>
            </w:tcBorders>
            <w:vAlign w:val="center"/>
          </w:tcPr>
          <w:p w14:paraId="3D0CC797"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0%</w:t>
            </w:r>
          </w:p>
        </w:tc>
        <w:tc>
          <w:tcPr>
            <w:tcW w:w="777" w:type="dxa"/>
            <w:tcBorders>
              <w:top w:val="single" w:sz="4" w:space="0" w:color="auto"/>
              <w:left w:val="nil"/>
              <w:bottom w:val="single" w:sz="8" w:space="0" w:color="auto"/>
              <w:right w:val="single" w:sz="8" w:space="0" w:color="auto"/>
            </w:tcBorders>
            <w:vAlign w:val="center"/>
          </w:tcPr>
          <w:p w14:paraId="2E51B104"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0%</w:t>
            </w:r>
          </w:p>
        </w:tc>
        <w:tc>
          <w:tcPr>
            <w:tcW w:w="777" w:type="dxa"/>
            <w:tcBorders>
              <w:top w:val="single" w:sz="4" w:space="0" w:color="auto"/>
              <w:left w:val="nil"/>
              <w:bottom w:val="single" w:sz="8" w:space="0" w:color="auto"/>
              <w:right w:val="single" w:sz="8" w:space="0" w:color="auto"/>
            </w:tcBorders>
            <w:vAlign w:val="center"/>
          </w:tcPr>
          <w:p w14:paraId="0F00B308"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0%</w:t>
            </w:r>
          </w:p>
        </w:tc>
        <w:tc>
          <w:tcPr>
            <w:tcW w:w="777" w:type="dxa"/>
            <w:tcBorders>
              <w:top w:val="single" w:sz="4" w:space="0" w:color="auto"/>
              <w:left w:val="nil"/>
              <w:bottom w:val="single" w:sz="8" w:space="0" w:color="auto"/>
              <w:right w:val="single" w:sz="8" w:space="0" w:color="auto"/>
            </w:tcBorders>
            <w:vAlign w:val="center"/>
          </w:tcPr>
          <w:p w14:paraId="28E105CF"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0%</w:t>
            </w:r>
          </w:p>
        </w:tc>
        <w:tc>
          <w:tcPr>
            <w:tcW w:w="777" w:type="dxa"/>
            <w:tcBorders>
              <w:top w:val="single" w:sz="4" w:space="0" w:color="auto"/>
              <w:left w:val="nil"/>
              <w:bottom w:val="single" w:sz="8" w:space="0" w:color="auto"/>
              <w:right w:val="single" w:sz="8" w:space="0" w:color="auto"/>
            </w:tcBorders>
            <w:vAlign w:val="center"/>
          </w:tcPr>
          <w:p w14:paraId="5BA8B01D"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5%</w:t>
            </w:r>
          </w:p>
        </w:tc>
        <w:tc>
          <w:tcPr>
            <w:tcW w:w="777" w:type="dxa"/>
            <w:tcBorders>
              <w:top w:val="single" w:sz="4" w:space="0" w:color="auto"/>
              <w:left w:val="nil"/>
              <w:bottom w:val="single" w:sz="8" w:space="0" w:color="auto"/>
              <w:right w:val="single" w:sz="8" w:space="0" w:color="auto"/>
            </w:tcBorders>
            <w:vAlign w:val="center"/>
          </w:tcPr>
          <w:p w14:paraId="7179212C" w14:textId="6CEB8BB4"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color w:val="000000"/>
                <w:sz w:val="18"/>
                <w:szCs w:val="21"/>
              </w:rPr>
            </w:pPr>
            <w:r>
              <w:rPr>
                <w:rFonts w:ascii="Arial" w:hAnsi="Arial" w:cs="Arial"/>
                <w:color w:val="000000"/>
                <w:sz w:val="18"/>
                <w:szCs w:val="21"/>
              </w:rPr>
              <w:t>15</w:t>
            </w:r>
            <w:r w:rsidRPr="006160D0">
              <w:rPr>
                <w:rFonts w:ascii="Arial" w:hAnsi="Arial" w:cs="Arial"/>
                <w:color w:val="000000"/>
                <w:sz w:val="18"/>
                <w:szCs w:val="21"/>
              </w:rPr>
              <w:t>%</w:t>
            </w:r>
          </w:p>
        </w:tc>
        <w:tc>
          <w:tcPr>
            <w:tcW w:w="777" w:type="dxa"/>
            <w:tcBorders>
              <w:top w:val="single" w:sz="4" w:space="0" w:color="auto"/>
              <w:left w:val="nil"/>
              <w:bottom w:val="single" w:sz="8" w:space="0" w:color="auto"/>
              <w:right w:val="single" w:sz="8" w:space="0" w:color="auto"/>
            </w:tcBorders>
            <w:vAlign w:val="center"/>
          </w:tcPr>
          <w:p w14:paraId="4EFA909E" w14:textId="05904398"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color w:val="000000"/>
                <w:sz w:val="18"/>
                <w:szCs w:val="21"/>
              </w:rPr>
            </w:pPr>
            <w:r>
              <w:rPr>
                <w:rFonts w:ascii="Arial" w:hAnsi="Arial" w:cs="Arial"/>
                <w:color w:val="000000"/>
                <w:sz w:val="18"/>
                <w:szCs w:val="21"/>
              </w:rPr>
              <w:t>25</w:t>
            </w:r>
            <w:r w:rsidRPr="006160D0">
              <w:rPr>
                <w:rFonts w:ascii="Arial" w:hAnsi="Arial" w:cs="Arial"/>
                <w:color w:val="000000"/>
                <w:sz w:val="18"/>
                <w:szCs w:val="21"/>
              </w:rPr>
              <w:t>%</w:t>
            </w:r>
          </w:p>
        </w:tc>
      </w:tr>
      <w:tr w:rsidR="007201E1" w:rsidRPr="006160D0" w14:paraId="3AA9D61D" w14:textId="77777777" w:rsidTr="007201E1">
        <w:trPr>
          <w:trHeight w:val="708"/>
        </w:trPr>
        <w:tc>
          <w:tcPr>
            <w:tcW w:w="1277" w:type="dxa"/>
            <w:tcBorders>
              <w:top w:val="nil"/>
              <w:left w:val="single" w:sz="8" w:space="0" w:color="auto"/>
              <w:bottom w:val="single" w:sz="8" w:space="0" w:color="auto"/>
              <w:right w:val="single" w:sz="8" w:space="0" w:color="auto"/>
            </w:tcBorders>
            <w:shd w:val="clear" w:color="auto" w:fill="auto"/>
            <w:noWrap/>
            <w:vAlign w:val="center"/>
          </w:tcPr>
          <w:p w14:paraId="50C6A3F9"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Total</w:t>
            </w:r>
          </w:p>
        </w:tc>
        <w:tc>
          <w:tcPr>
            <w:tcW w:w="833" w:type="dxa"/>
            <w:tcBorders>
              <w:top w:val="nil"/>
              <w:left w:val="nil"/>
              <w:bottom w:val="single" w:sz="8" w:space="0" w:color="auto"/>
              <w:right w:val="single" w:sz="8" w:space="0" w:color="auto"/>
            </w:tcBorders>
            <w:shd w:val="clear" w:color="auto" w:fill="auto"/>
            <w:noWrap/>
            <w:vAlign w:val="center"/>
          </w:tcPr>
          <w:p w14:paraId="6F8D5D19"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100%</w:t>
            </w:r>
          </w:p>
        </w:tc>
        <w:tc>
          <w:tcPr>
            <w:tcW w:w="777" w:type="dxa"/>
            <w:tcBorders>
              <w:top w:val="nil"/>
              <w:left w:val="nil"/>
              <w:bottom w:val="single" w:sz="8" w:space="0" w:color="auto"/>
              <w:right w:val="single" w:sz="8" w:space="0" w:color="auto"/>
            </w:tcBorders>
            <w:shd w:val="clear" w:color="auto" w:fill="auto"/>
            <w:vAlign w:val="center"/>
          </w:tcPr>
          <w:p w14:paraId="1D397987"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100%</w:t>
            </w:r>
          </w:p>
        </w:tc>
        <w:tc>
          <w:tcPr>
            <w:tcW w:w="777" w:type="dxa"/>
            <w:tcBorders>
              <w:top w:val="nil"/>
              <w:left w:val="nil"/>
              <w:bottom w:val="single" w:sz="8" w:space="0" w:color="auto"/>
              <w:right w:val="single" w:sz="8" w:space="0" w:color="auto"/>
            </w:tcBorders>
            <w:shd w:val="clear" w:color="auto" w:fill="auto"/>
            <w:vAlign w:val="center"/>
          </w:tcPr>
          <w:p w14:paraId="40F7E3D2"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100%</w:t>
            </w:r>
          </w:p>
        </w:tc>
        <w:tc>
          <w:tcPr>
            <w:tcW w:w="777" w:type="dxa"/>
            <w:tcBorders>
              <w:top w:val="nil"/>
              <w:left w:val="nil"/>
              <w:bottom w:val="single" w:sz="8" w:space="0" w:color="auto"/>
              <w:right w:val="single" w:sz="8" w:space="0" w:color="auto"/>
            </w:tcBorders>
            <w:vAlign w:val="center"/>
          </w:tcPr>
          <w:p w14:paraId="00EBB67A"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100%</w:t>
            </w:r>
          </w:p>
        </w:tc>
        <w:tc>
          <w:tcPr>
            <w:tcW w:w="777" w:type="dxa"/>
            <w:tcBorders>
              <w:top w:val="nil"/>
              <w:left w:val="nil"/>
              <w:bottom w:val="single" w:sz="8" w:space="0" w:color="auto"/>
              <w:right w:val="single" w:sz="8" w:space="0" w:color="auto"/>
            </w:tcBorders>
            <w:vAlign w:val="center"/>
          </w:tcPr>
          <w:p w14:paraId="6DC408DC"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100%</w:t>
            </w:r>
          </w:p>
        </w:tc>
        <w:tc>
          <w:tcPr>
            <w:tcW w:w="777" w:type="dxa"/>
            <w:tcBorders>
              <w:top w:val="nil"/>
              <w:left w:val="nil"/>
              <w:bottom w:val="single" w:sz="8" w:space="0" w:color="auto"/>
              <w:right w:val="single" w:sz="8" w:space="0" w:color="auto"/>
            </w:tcBorders>
            <w:vAlign w:val="center"/>
          </w:tcPr>
          <w:p w14:paraId="1494D603"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100%</w:t>
            </w:r>
          </w:p>
        </w:tc>
        <w:tc>
          <w:tcPr>
            <w:tcW w:w="777" w:type="dxa"/>
            <w:tcBorders>
              <w:top w:val="nil"/>
              <w:left w:val="nil"/>
              <w:bottom w:val="single" w:sz="8" w:space="0" w:color="auto"/>
              <w:right w:val="single" w:sz="8" w:space="0" w:color="auto"/>
            </w:tcBorders>
            <w:vAlign w:val="center"/>
          </w:tcPr>
          <w:p w14:paraId="2CE2FA4C"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100%</w:t>
            </w:r>
          </w:p>
        </w:tc>
        <w:tc>
          <w:tcPr>
            <w:tcW w:w="777" w:type="dxa"/>
            <w:tcBorders>
              <w:top w:val="nil"/>
              <w:left w:val="nil"/>
              <w:bottom w:val="single" w:sz="8" w:space="0" w:color="auto"/>
              <w:right w:val="single" w:sz="8" w:space="0" w:color="auto"/>
            </w:tcBorders>
            <w:vAlign w:val="center"/>
          </w:tcPr>
          <w:p w14:paraId="1AA8FAD9"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100%</w:t>
            </w:r>
          </w:p>
        </w:tc>
        <w:tc>
          <w:tcPr>
            <w:tcW w:w="777" w:type="dxa"/>
            <w:tcBorders>
              <w:top w:val="nil"/>
              <w:left w:val="nil"/>
              <w:bottom w:val="single" w:sz="8" w:space="0" w:color="auto"/>
              <w:right w:val="single" w:sz="8" w:space="0" w:color="auto"/>
            </w:tcBorders>
            <w:vAlign w:val="center"/>
          </w:tcPr>
          <w:p w14:paraId="5FAC0403"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100%</w:t>
            </w:r>
          </w:p>
        </w:tc>
        <w:tc>
          <w:tcPr>
            <w:tcW w:w="777" w:type="dxa"/>
            <w:tcBorders>
              <w:top w:val="nil"/>
              <w:left w:val="nil"/>
              <w:bottom w:val="single" w:sz="8" w:space="0" w:color="auto"/>
              <w:right w:val="single" w:sz="8" w:space="0" w:color="auto"/>
            </w:tcBorders>
            <w:vAlign w:val="center"/>
          </w:tcPr>
          <w:p w14:paraId="6522D53C"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100%</w:t>
            </w:r>
          </w:p>
        </w:tc>
        <w:tc>
          <w:tcPr>
            <w:tcW w:w="777" w:type="dxa"/>
            <w:tcBorders>
              <w:top w:val="nil"/>
              <w:left w:val="nil"/>
              <w:bottom w:val="single" w:sz="8" w:space="0" w:color="auto"/>
              <w:right w:val="single" w:sz="8" w:space="0" w:color="auto"/>
            </w:tcBorders>
            <w:vAlign w:val="center"/>
          </w:tcPr>
          <w:p w14:paraId="045B3917" w14:textId="77777777" w:rsidR="007201E1" w:rsidRPr="006160D0" w:rsidRDefault="007201E1" w:rsidP="007201E1">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100%</w:t>
            </w:r>
          </w:p>
        </w:tc>
      </w:tr>
    </w:tbl>
    <w:p w14:paraId="163F2C20" w14:textId="77777777" w:rsidR="004E4621" w:rsidRDefault="004E4621" w:rsidP="002766B1"/>
    <w:p w14:paraId="1C371800" w14:textId="52CB27E5" w:rsidR="00BA6C94" w:rsidRPr="0065296C" w:rsidRDefault="00E438D0" w:rsidP="005731AA">
      <w:pPr>
        <w:spacing w:after="120"/>
        <w:rPr>
          <w:rFonts w:ascii="Arial" w:hAnsi="Arial" w:cs="Arial"/>
          <w:bCs/>
          <w:i/>
          <w:sz w:val="22"/>
        </w:rPr>
      </w:pPr>
      <w:r>
        <w:rPr>
          <w:rFonts w:ascii="Arial" w:hAnsi="Arial" w:cs="Arial"/>
          <w:bCs/>
          <w:i/>
          <w:sz w:val="22"/>
        </w:rPr>
        <w:t>The</w:t>
      </w:r>
      <w:r w:rsidR="00BA6C94" w:rsidRPr="0065296C">
        <w:rPr>
          <w:rFonts w:ascii="Arial" w:hAnsi="Arial" w:cs="Arial"/>
          <w:bCs/>
          <w:i/>
          <w:sz w:val="22"/>
        </w:rPr>
        <w:t xml:space="preserve"> Adventurous</w:t>
      </w:r>
      <w:r>
        <w:rPr>
          <w:rFonts w:ascii="Arial" w:hAnsi="Arial" w:cs="Arial"/>
          <w:bCs/>
          <w:i/>
          <w:sz w:val="22"/>
        </w:rPr>
        <w:t xml:space="preserve"> – Annuity Lifes</w:t>
      </w:r>
      <w:r w:rsidR="00BA6C94" w:rsidRPr="0065296C">
        <w:rPr>
          <w:rFonts w:ascii="Arial" w:hAnsi="Arial" w:cs="Arial"/>
          <w:bCs/>
          <w:i/>
          <w:sz w:val="22"/>
        </w:rPr>
        <w:t xml:space="preserve">tyle </w:t>
      </w:r>
    </w:p>
    <w:tbl>
      <w:tblPr>
        <w:tblW w:w="9880" w:type="dxa"/>
        <w:tblInd w:w="-10" w:type="dxa"/>
        <w:tblLayout w:type="fixed"/>
        <w:tblLook w:val="04A0" w:firstRow="1" w:lastRow="0" w:firstColumn="1" w:lastColumn="0" w:noHBand="0" w:noVBand="1"/>
      </w:tblPr>
      <w:tblGrid>
        <w:gridCol w:w="1277"/>
        <w:gridCol w:w="833"/>
        <w:gridCol w:w="777"/>
        <w:gridCol w:w="777"/>
        <w:gridCol w:w="777"/>
        <w:gridCol w:w="777"/>
        <w:gridCol w:w="777"/>
        <w:gridCol w:w="777"/>
        <w:gridCol w:w="777"/>
        <w:gridCol w:w="777"/>
        <w:gridCol w:w="777"/>
        <w:gridCol w:w="777"/>
      </w:tblGrid>
      <w:tr w:rsidR="00BA6C94" w:rsidRPr="006160D0" w14:paraId="2CB9C262" w14:textId="77777777" w:rsidTr="00D738D7">
        <w:trPr>
          <w:trHeight w:val="765"/>
        </w:trPr>
        <w:tc>
          <w:tcPr>
            <w:tcW w:w="1277" w:type="dxa"/>
            <w:tcBorders>
              <w:top w:val="single" w:sz="8" w:space="0" w:color="auto"/>
              <w:left w:val="single" w:sz="8" w:space="0" w:color="auto"/>
              <w:bottom w:val="single" w:sz="8" w:space="0" w:color="auto"/>
              <w:right w:val="single" w:sz="8" w:space="0" w:color="auto"/>
            </w:tcBorders>
            <w:shd w:val="clear" w:color="auto" w:fill="8064A2" w:themeFill="accent4"/>
            <w:vAlign w:val="center"/>
            <w:hideMark/>
          </w:tcPr>
          <w:p w14:paraId="340900CB" w14:textId="77777777" w:rsidR="00BA6C94" w:rsidRPr="006160D0" w:rsidRDefault="00BA6C94" w:rsidP="00D738D7">
            <w:pPr>
              <w:suppressLineNumbers w:val="0"/>
              <w:tabs>
                <w:tab w:val="clear" w:pos="907"/>
                <w:tab w:val="clear" w:pos="9185"/>
              </w:tabs>
              <w:suppressAutoHyphens w:val="0"/>
              <w:spacing w:line="240" w:lineRule="auto"/>
              <w:jc w:val="center"/>
              <w:rPr>
                <w:rFonts w:ascii="Arial" w:hAnsi="Arial" w:cs="Arial"/>
                <w:b/>
                <w:bCs/>
                <w:color w:val="FFFFFF"/>
                <w:sz w:val="18"/>
                <w:szCs w:val="21"/>
              </w:rPr>
            </w:pPr>
            <w:r w:rsidRPr="006160D0">
              <w:rPr>
                <w:rFonts w:ascii="Arial" w:hAnsi="Arial" w:cs="Arial"/>
                <w:b/>
                <w:bCs/>
                <w:color w:val="FFFFFF" w:themeColor="background1"/>
                <w:sz w:val="18"/>
                <w:szCs w:val="21"/>
              </w:rPr>
              <w:t xml:space="preserve">Fund / </w:t>
            </w:r>
            <w:proofErr w:type="spellStart"/>
            <w:r w:rsidRPr="006160D0">
              <w:rPr>
                <w:rFonts w:ascii="Arial" w:hAnsi="Arial" w:cs="Arial"/>
                <w:b/>
                <w:bCs/>
                <w:color w:val="FFFFFF" w:themeColor="background1"/>
                <w:sz w:val="18"/>
                <w:szCs w:val="21"/>
              </w:rPr>
              <w:t>Yrs</w:t>
            </w:r>
            <w:proofErr w:type="spellEnd"/>
            <w:r w:rsidRPr="006160D0">
              <w:rPr>
                <w:rFonts w:ascii="Arial" w:hAnsi="Arial" w:cs="Arial"/>
                <w:b/>
                <w:bCs/>
                <w:color w:val="FFFFFF" w:themeColor="background1"/>
                <w:sz w:val="18"/>
                <w:szCs w:val="21"/>
              </w:rPr>
              <w:t xml:space="preserve"> to Retirement</w:t>
            </w:r>
          </w:p>
        </w:tc>
        <w:tc>
          <w:tcPr>
            <w:tcW w:w="833" w:type="dxa"/>
            <w:tcBorders>
              <w:top w:val="single" w:sz="8" w:space="0" w:color="auto"/>
              <w:left w:val="nil"/>
              <w:bottom w:val="single" w:sz="8" w:space="0" w:color="auto"/>
              <w:right w:val="single" w:sz="8" w:space="0" w:color="auto"/>
            </w:tcBorders>
            <w:shd w:val="clear" w:color="auto" w:fill="8064A2" w:themeFill="accent4"/>
            <w:vAlign w:val="center"/>
            <w:hideMark/>
          </w:tcPr>
          <w:p w14:paraId="58703FD1" w14:textId="77777777" w:rsidR="00BA6C94" w:rsidRPr="006160D0" w:rsidRDefault="00BA6C94" w:rsidP="00D738D7">
            <w:pPr>
              <w:suppressLineNumbers w:val="0"/>
              <w:tabs>
                <w:tab w:val="clear" w:pos="907"/>
                <w:tab w:val="clear" w:pos="9185"/>
              </w:tabs>
              <w:suppressAutoHyphens w:val="0"/>
              <w:spacing w:line="240" w:lineRule="auto"/>
              <w:jc w:val="center"/>
              <w:rPr>
                <w:rFonts w:ascii="Arial" w:hAnsi="Arial" w:cs="Arial"/>
                <w:b/>
                <w:bCs/>
                <w:color w:val="FFFFFF"/>
                <w:sz w:val="18"/>
                <w:szCs w:val="21"/>
              </w:rPr>
            </w:pPr>
            <w:r w:rsidRPr="006160D0">
              <w:rPr>
                <w:rFonts w:ascii="Arial" w:hAnsi="Arial" w:cs="Arial"/>
                <w:b/>
                <w:bCs/>
                <w:color w:val="FFFFFF" w:themeColor="background1"/>
                <w:sz w:val="18"/>
                <w:szCs w:val="21"/>
              </w:rPr>
              <w:t>10 or more</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hideMark/>
          </w:tcPr>
          <w:p w14:paraId="654D071F" w14:textId="77777777" w:rsidR="00BA6C94" w:rsidRPr="006160D0" w:rsidRDefault="00BA6C94" w:rsidP="00D738D7">
            <w:pPr>
              <w:suppressLineNumbers w:val="0"/>
              <w:tabs>
                <w:tab w:val="clear" w:pos="907"/>
                <w:tab w:val="clear" w:pos="9185"/>
              </w:tabs>
              <w:suppressAutoHyphens w:val="0"/>
              <w:spacing w:line="240" w:lineRule="auto"/>
              <w:jc w:val="center"/>
              <w:rPr>
                <w:rFonts w:ascii="Arial" w:hAnsi="Arial" w:cs="Arial"/>
                <w:b/>
                <w:bCs/>
                <w:color w:val="FFFFFF"/>
                <w:sz w:val="18"/>
                <w:szCs w:val="21"/>
              </w:rPr>
            </w:pPr>
            <w:r w:rsidRPr="006160D0">
              <w:rPr>
                <w:rFonts w:ascii="Arial" w:hAnsi="Arial" w:cs="Arial"/>
                <w:b/>
                <w:bCs/>
                <w:color w:val="FFFFFF" w:themeColor="background1"/>
                <w:sz w:val="18"/>
                <w:szCs w:val="21"/>
              </w:rPr>
              <w:t>9</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hideMark/>
          </w:tcPr>
          <w:p w14:paraId="57171411" w14:textId="77777777" w:rsidR="00BA6C94" w:rsidRPr="006160D0" w:rsidRDefault="00BA6C94" w:rsidP="00D738D7">
            <w:pPr>
              <w:suppressLineNumbers w:val="0"/>
              <w:tabs>
                <w:tab w:val="clear" w:pos="907"/>
                <w:tab w:val="clear" w:pos="9185"/>
              </w:tabs>
              <w:suppressAutoHyphens w:val="0"/>
              <w:spacing w:line="240" w:lineRule="auto"/>
              <w:jc w:val="center"/>
              <w:rPr>
                <w:rFonts w:ascii="Arial" w:hAnsi="Arial" w:cs="Arial"/>
                <w:b/>
                <w:bCs/>
                <w:color w:val="FFFFFF"/>
                <w:sz w:val="18"/>
                <w:szCs w:val="21"/>
              </w:rPr>
            </w:pPr>
            <w:r w:rsidRPr="006160D0">
              <w:rPr>
                <w:rFonts w:ascii="Arial" w:hAnsi="Arial" w:cs="Arial"/>
                <w:b/>
                <w:bCs/>
                <w:color w:val="FFFFFF" w:themeColor="background1"/>
                <w:sz w:val="18"/>
                <w:szCs w:val="21"/>
              </w:rPr>
              <w:t>8</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2B69A7EB" w14:textId="77777777" w:rsidR="00BA6C94" w:rsidRPr="006160D0" w:rsidRDefault="00BA6C94" w:rsidP="00D738D7">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160D0">
              <w:rPr>
                <w:rFonts w:ascii="Arial" w:hAnsi="Arial" w:cs="Arial"/>
                <w:b/>
                <w:bCs/>
                <w:color w:val="FFFFFF" w:themeColor="background1"/>
                <w:sz w:val="18"/>
                <w:szCs w:val="21"/>
              </w:rPr>
              <w:t>7</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0F5BB0C0" w14:textId="77777777" w:rsidR="00BA6C94" w:rsidRPr="006160D0" w:rsidRDefault="00BA6C94" w:rsidP="00D738D7">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160D0">
              <w:rPr>
                <w:rFonts w:ascii="Arial" w:hAnsi="Arial" w:cs="Arial"/>
                <w:b/>
                <w:bCs/>
                <w:color w:val="FFFFFF" w:themeColor="background1"/>
                <w:sz w:val="18"/>
                <w:szCs w:val="21"/>
              </w:rPr>
              <w:t>6</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4B986913" w14:textId="77777777" w:rsidR="00BA6C94" w:rsidRPr="006160D0" w:rsidRDefault="00BA6C94" w:rsidP="00D738D7">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160D0">
              <w:rPr>
                <w:rFonts w:ascii="Arial" w:hAnsi="Arial" w:cs="Arial"/>
                <w:b/>
                <w:bCs/>
                <w:color w:val="FFFFFF" w:themeColor="background1"/>
                <w:sz w:val="18"/>
                <w:szCs w:val="21"/>
              </w:rPr>
              <w:t>5</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3103E801" w14:textId="77777777" w:rsidR="00BA6C94" w:rsidRPr="006160D0" w:rsidRDefault="00BA6C94" w:rsidP="00D738D7">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160D0">
              <w:rPr>
                <w:rFonts w:ascii="Arial" w:hAnsi="Arial" w:cs="Arial"/>
                <w:b/>
                <w:bCs/>
                <w:color w:val="FFFFFF" w:themeColor="background1"/>
                <w:sz w:val="18"/>
                <w:szCs w:val="21"/>
              </w:rPr>
              <w:t>4</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7DE829A1" w14:textId="77777777" w:rsidR="00BA6C94" w:rsidRPr="006160D0" w:rsidRDefault="00BA6C94" w:rsidP="00D738D7">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160D0">
              <w:rPr>
                <w:rFonts w:ascii="Arial" w:hAnsi="Arial" w:cs="Arial"/>
                <w:b/>
                <w:bCs/>
                <w:color w:val="FFFFFF" w:themeColor="background1"/>
                <w:sz w:val="18"/>
                <w:szCs w:val="21"/>
              </w:rPr>
              <w:t>3</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4E91F954" w14:textId="77777777" w:rsidR="00BA6C94" w:rsidRPr="006160D0" w:rsidRDefault="00BA6C94" w:rsidP="00D738D7">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160D0">
              <w:rPr>
                <w:rFonts w:ascii="Arial" w:hAnsi="Arial" w:cs="Arial"/>
                <w:b/>
                <w:bCs/>
                <w:color w:val="FFFFFF" w:themeColor="background1"/>
                <w:sz w:val="18"/>
                <w:szCs w:val="21"/>
              </w:rPr>
              <w:t>2</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5116DE76" w14:textId="77777777" w:rsidR="00BA6C94" w:rsidRPr="006160D0" w:rsidRDefault="00BA6C94" w:rsidP="00D738D7">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160D0">
              <w:rPr>
                <w:rFonts w:ascii="Arial" w:hAnsi="Arial" w:cs="Arial"/>
                <w:b/>
                <w:bCs/>
                <w:color w:val="FFFFFF" w:themeColor="background1"/>
                <w:sz w:val="18"/>
                <w:szCs w:val="21"/>
              </w:rPr>
              <w:t>1</w:t>
            </w:r>
          </w:p>
        </w:tc>
        <w:tc>
          <w:tcPr>
            <w:tcW w:w="777" w:type="dxa"/>
            <w:tcBorders>
              <w:top w:val="single" w:sz="8" w:space="0" w:color="auto"/>
              <w:left w:val="nil"/>
              <w:bottom w:val="single" w:sz="8" w:space="0" w:color="auto"/>
              <w:right w:val="single" w:sz="8" w:space="0" w:color="auto"/>
            </w:tcBorders>
            <w:shd w:val="clear" w:color="auto" w:fill="8064A2" w:themeFill="accent4"/>
            <w:vAlign w:val="center"/>
          </w:tcPr>
          <w:p w14:paraId="756131A0" w14:textId="77777777" w:rsidR="00BA6C94" w:rsidRPr="006160D0" w:rsidRDefault="00BA6C94" w:rsidP="00D738D7">
            <w:pPr>
              <w:suppressLineNumbers w:val="0"/>
              <w:tabs>
                <w:tab w:val="clear" w:pos="907"/>
                <w:tab w:val="clear" w:pos="9185"/>
              </w:tabs>
              <w:suppressAutoHyphens w:val="0"/>
              <w:spacing w:line="240" w:lineRule="auto"/>
              <w:jc w:val="center"/>
              <w:rPr>
                <w:rFonts w:ascii="Arial" w:hAnsi="Arial" w:cs="Arial"/>
                <w:b/>
                <w:bCs/>
                <w:color w:val="FFFFFF" w:themeColor="background1"/>
                <w:sz w:val="18"/>
                <w:szCs w:val="21"/>
              </w:rPr>
            </w:pPr>
            <w:r w:rsidRPr="006160D0">
              <w:rPr>
                <w:rFonts w:ascii="Arial" w:hAnsi="Arial" w:cs="Arial"/>
                <w:b/>
                <w:bCs/>
                <w:color w:val="FFFFFF" w:themeColor="background1"/>
                <w:sz w:val="18"/>
                <w:szCs w:val="21"/>
              </w:rPr>
              <w:t>0</w:t>
            </w:r>
          </w:p>
        </w:tc>
      </w:tr>
      <w:tr w:rsidR="00E73D0A" w:rsidRPr="006160D0" w14:paraId="50A1708A" w14:textId="77777777" w:rsidTr="00D738D7">
        <w:trPr>
          <w:trHeight w:val="513"/>
        </w:trPr>
        <w:tc>
          <w:tcPr>
            <w:tcW w:w="1277" w:type="dxa"/>
            <w:tcBorders>
              <w:top w:val="nil"/>
              <w:left w:val="single" w:sz="8" w:space="0" w:color="auto"/>
              <w:bottom w:val="single" w:sz="8" w:space="0" w:color="auto"/>
              <w:right w:val="single" w:sz="8" w:space="0" w:color="auto"/>
            </w:tcBorders>
            <w:shd w:val="clear" w:color="auto" w:fill="auto"/>
            <w:noWrap/>
            <w:vAlign w:val="center"/>
          </w:tcPr>
          <w:p w14:paraId="6D62FBCC" w14:textId="71212074"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color w:val="000000"/>
                <w:sz w:val="18"/>
                <w:szCs w:val="21"/>
              </w:rPr>
            </w:pPr>
            <w:r>
              <w:rPr>
                <w:rFonts w:ascii="Arial" w:hAnsi="Arial" w:cs="Arial"/>
                <w:color w:val="000000"/>
                <w:sz w:val="18"/>
                <w:szCs w:val="21"/>
              </w:rPr>
              <w:t xml:space="preserve">BNY Mellon LT </w:t>
            </w:r>
            <w:proofErr w:type="spellStart"/>
            <w:r>
              <w:rPr>
                <w:rFonts w:ascii="Arial" w:hAnsi="Arial" w:cs="Arial"/>
                <w:color w:val="000000"/>
                <w:sz w:val="18"/>
                <w:szCs w:val="21"/>
              </w:rPr>
              <w:t>Glbal</w:t>
            </w:r>
            <w:proofErr w:type="spellEnd"/>
            <w:r>
              <w:rPr>
                <w:rFonts w:ascii="Arial" w:hAnsi="Arial" w:cs="Arial"/>
                <w:color w:val="000000"/>
                <w:sz w:val="18"/>
                <w:szCs w:val="21"/>
              </w:rPr>
              <w:t xml:space="preserve"> Equity Fund</w:t>
            </w:r>
          </w:p>
        </w:tc>
        <w:tc>
          <w:tcPr>
            <w:tcW w:w="833" w:type="dxa"/>
            <w:tcBorders>
              <w:top w:val="nil"/>
              <w:left w:val="nil"/>
              <w:bottom w:val="single" w:sz="8" w:space="0" w:color="auto"/>
              <w:right w:val="single" w:sz="8" w:space="0" w:color="auto"/>
            </w:tcBorders>
            <w:shd w:val="clear" w:color="auto" w:fill="auto"/>
            <w:noWrap/>
            <w:vAlign w:val="center"/>
          </w:tcPr>
          <w:p w14:paraId="0962A4EB" w14:textId="0C24C3B8"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color w:val="000000"/>
                <w:sz w:val="18"/>
                <w:szCs w:val="21"/>
              </w:rPr>
            </w:pPr>
            <w:r>
              <w:rPr>
                <w:rFonts w:ascii="Arial" w:hAnsi="Arial" w:cs="Arial"/>
                <w:color w:val="000000"/>
                <w:sz w:val="18"/>
                <w:szCs w:val="21"/>
              </w:rPr>
              <w:t>100%</w:t>
            </w:r>
          </w:p>
        </w:tc>
        <w:tc>
          <w:tcPr>
            <w:tcW w:w="777" w:type="dxa"/>
            <w:tcBorders>
              <w:top w:val="nil"/>
              <w:left w:val="nil"/>
              <w:bottom w:val="single" w:sz="8" w:space="0" w:color="auto"/>
              <w:right w:val="single" w:sz="8" w:space="0" w:color="auto"/>
            </w:tcBorders>
            <w:shd w:val="clear" w:color="auto" w:fill="auto"/>
            <w:vAlign w:val="center"/>
          </w:tcPr>
          <w:p w14:paraId="285D7CC0" w14:textId="74A07A9F" w:rsidR="00E73D0A" w:rsidRPr="006160D0" w:rsidRDefault="00E73D0A" w:rsidP="00E73D0A">
            <w:pPr>
              <w:spacing w:line="240" w:lineRule="auto"/>
              <w:jc w:val="center"/>
              <w:rPr>
                <w:rFonts w:ascii="Arial" w:hAnsi="Arial" w:cs="Arial"/>
                <w:sz w:val="18"/>
                <w:szCs w:val="21"/>
              </w:rPr>
            </w:pPr>
            <w:r>
              <w:rPr>
                <w:rFonts w:ascii="Arial" w:hAnsi="Arial" w:cs="Arial"/>
                <w:sz w:val="18"/>
                <w:szCs w:val="21"/>
              </w:rPr>
              <w:t>80%</w:t>
            </w:r>
          </w:p>
        </w:tc>
        <w:tc>
          <w:tcPr>
            <w:tcW w:w="777" w:type="dxa"/>
            <w:tcBorders>
              <w:top w:val="nil"/>
              <w:left w:val="nil"/>
              <w:bottom w:val="single" w:sz="8" w:space="0" w:color="auto"/>
              <w:right w:val="single" w:sz="8" w:space="0" w:color="auto"/>
            </w:tcBorders>
            <w:shd w:val="clear" w:color="auto" w:fill="auto"/>
            <w:vAlign w:val="center"/>
          </w:tcPr>
          <w:p w14:paraId="2587A020" w14:textId="6FD3B10F"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color w:val="000000"/>
                <w:sz w:val="18"/>
                <w:szCs w:val="21"/>
              </w:rPr>
            </w:pPr>
            <w:r>
              <w:rPr>
                <w:rFonts w:ascii="Arial" w:hAnsi="Arial" w:cs="Arial"/>
                <w:color w:val="000000"/>
                <w:sz w:val="18"/>
                <w:szCs w:val="21"/>
              </w:rPr>
              <w:t>60%</w:t>
            </w:r>
          </w:p>
        </w:tc>
        <w:tc>
          <w:tcPr>
            <w:tcW w:w="777" w:type="dxa"/>
            <w:tcBorders>
              <w:top w:val="nil"/>
              <w:left w:val="nil"/>
              <w:bottom w:val="single" w:sz="8" w:space="0" w:color="auto"/>
              <w:right w:val="single" w:sz="8" w:space="0" w:color="auto"/>
            </w:tcBorders>
            <w:vAlign w:val="center"/>
          </w:tcPr>
          <w:p w14:paraId="5F16C550" w14:textId="6A8418EC"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40%</w:t>
            </w:r>
          </w:p>
        </w:tc>
        <w:tc>
          <w:tcPr>
            <w:tcW w:w="777" w:type="dxa"/>
            <w:tcBorders>
              <w:top w:val="nil"/>
              <w:left w:val="nil"/>
              <w:bottom w:val="single" w:sz="8" w:space="0" w:color="auto"/>
              <w:right w:val="single" w:sz="8" w:space="0" w:color="auto"/>
            </w:tcBorders>
            <w:vAlign w:val="center"/>
          </w:tcPr>
          <w:p w14:paraId="079C782A" w14:textId="2A179B97"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20%</w:t>
            </w:r>
          </w:p>
        </w:tc>
        <w:tc>
          <w:tcPr>
            <w:tcW w:w="777" w:type="dxa"/>
            <w:tcBorders>
              <w:top w:val="nil"/>
              <w:left w:val="nil"/>
              <w:bottom w:val="single" w:sz="8" w:space="0" w:color="auto"/>
              <w:right w:val="single" w:sz="8" w:space="0" w:color="auto"/>
            </w:tcBorders>
            <w:vAlign w:val="center"/>
          </w:tcPr>
          <w:p w14:paraId="18BA9E87" w14:textId="5A8838F9"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0%</w:t>
            </w:r>
          </w:p>
        </w:tc>
        <w:tc>
          <w:tcPr>
            <w:tcW w:w="777" w:type="dxa"/>
            <w:tcBorders>
              <w:top w:val="nil"/>
              <w:left w:val="nil"/>
              <w:bottom w:val="single" w:sz="8" w:space="0" w:color="auto"/>
              <w:right w:val="single" w:sz="8" w:space="0" w:color="auto"/>
            </w:tcBorders>
            <w:vAlign w:val="center"/>
          </w:tcPr>
          <w:p w14:paraId="4A606E85" w14:textId="5BC9FDB5"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sz w:val="18"/>
                <w:szCs w:val="21"/>
              </w:rPr>
            </w:pPr>
            <w:r w:rsidRPr="006160D0">
              <w:rPr>
                <w:rFonts w:ascii="Arial" w:hAnsi="Arial" w:cs="Arial"/>
                <w:color w:val="000000"/>
                <w:sz w:val="18"/>
                <w:szCs w:val="21"/>
              </w:rPr>
              <w:t>0%</w:t>
            </w:r>
          </w:p>
        </w:tc>
        <w:tc>
          <w:tcPr>
            <w:tcW w:w="777" w:type="dxa"/>
            <w:tcBorders>
              <w:top w:val="nil"/>
              <w:left w:val="nil"/>
              <w:bottom w:val="single" w:sz="8" w:space="0" w:color="auto"/>
              <w:right w:val="single" w:sz="8" w:space="0" w:color="auto"/>
            </w:tcBorders>
            <w:vAlign w:val="center"/>
          </w:tcPr>
          <w:p w14:paraId="707CB71C" w14:textId="605820D7"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sz w:val="18"/>
                <w:szCs w:val="21"/>
              </w:rPr>
            </w:pPr>
            <w:r w:rsidRPr="006160D0">
              <w:rPr>
                <w:rFonts w:ascii="Arial" w:hAnsi="Arial" w:cs="Arial"/>
                <w:color w:val="000000"/>
                <w:sz w:val="18"/>
                <w:szCs w:val="21"/>
              </w:rPr>
              <w:t>0%</w:t>
            </w:r>
          </w:p>
        </w:tc>
        <w:tc>
          <w:tcPr>
            <w:tcW w:w="777" w:type="dxa"/>
            <w:tcBorders>
              <w:top w:val="nil"/>
              <w:left w:val="nil"/>
              <w:bottom w:val="single" w:sz="8" w:space="0" w:color="auto"/>
              <w:right w:val="single" w:sz="8" w:space="0" w:color="auto"/>
            </w:tcBorders>
            <w:vAlign w:val="center"/>
          </w:tcPr>
          <w:p w14:paraId="7B89A25B" w14:textId="424E86E9"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sz w:val="18"/>
                <w:szCs w:val="21"/>
              </w:rPr>
            </w:pPr>
            <w:r w:rsidRPr="006160D0">
              <w:rPr>
                <w:rFonts w:ascii="Arial" w:hAnsi="Arial" w:cs="Arial"/>
                <w:color w:val="000000"/>
                <w:sz w:val="18"/>
                <w:szCs w:val="21"/>
              </w:rPr>
              <w:t>0%</w:t>
            </w:r>
          </w:p>
        </w:tc>
        <w:tc>
          <w:tcPr>
            <w:tcW w:w="777" w:type="dxa"/>
            <w:tcBorders>
              <w:top w:val="nil"/>
              <w:left w:val="nil"/>
              <w:bottom w:val="single" w:sz="8" w:space="0" w:color="auto"/>
              <w:right w:val="single" w:sz="8" w:space="0" w:color="auto"/>
            </w:tcBorders>
            <w:vAlign w:val="center"/>
          </w:tcPr>
          <w:p w14:paraId="6A26808E" w14:textId="1526D0B9"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sz w:val="18"/>
                <w:szCs w:val="21"/>
              </w:rPr>
            </w:pPr>
            <w:r w:rsidRPr="006160D0">
              <w:rPr>
                <w:rFonts w:ascii="Arial" w:hAnsi="Arial" w:cs="Arial"/>
                <w:color w:val="000000"/>
                <w:sz w:val="18"/>
                <w:szCs w:val="21"/>
              </w:rPr>
              <w:t>0%</w:t>
            </w:r>
          </w:p>
        </w:tc>
        <w:tc>
          <w:tcPr>
            <w:tcW w:w="777" w:type="dxa"/>
            <w:tcBorders>
              <w:top w:val="nil"/>
              <w:left w:val="nil"/>
              <w:bottom w:val="single" w:sz="8" w:space="0" w:color="auto"/>
              <w:right w:val="single" w:sz="8" w:space="0" w:color="auto"/>
            </w:tcBorders>
            <w:vAlign w:val="center"/>
          </w:tcPr>
          <w:p w14:paraId="621EBF65" w14:textId="77777777"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sz w:val="18"/>
                <w:szCs w:val="21"/>
              </w:rPr>
            </w:pPr>
            <w:r w:rsidRPr="006160D0">
              <w:rPr>
                <w:rFonts w:ascii="Arial" w:hAnsi="Arial" w:cs="Arial"/>
                <w:sz w:val="18"/>
                <w:szCs w:val="21"/>
              </w:rPr>
              <w:t>0%</w:t>
            </w:r>
          </w:p>
        </w:tc>
      </w:tr>
      <w:tr w:rsidR="00E73D0A" w:rsidRPr="006160D0" w14:paraId="65D8EB0B" w14:textId="77777777" w:rsidTr="00D738D7">
        <w:trPr>
          <w:trHeight w:val="563"/>
        </w:trPr>
        <w:tc>
          <w:tcPr>
            <w:tcW w:w="1277" w:type="dxa"/>
            <w:tcBorders>
              <w:top w:val="nil"/>
              <w:left w:val="single" w:sz="8" w:space="0" w:color="auto"/>
              <w:bottom w:val="single" w:sz="4" w:space="0" w:color="auto"/>
              <w:right w:val="single" w:sz="8" w:space="0" w:color="auto"/>
            </w:tcBorders>
            <w:shd w:val="clear" w:color="auto" w:fill="auto"/>
            <w:noWrap/>
            <w:vAlign w:val="center"/>
          </w:tcPr>
          <w:p w14:paraId="5C6738B8" w14:textId="73788206" w:rsidR="00E73D0A" w:rsidRPr="006160D0" w:rsidRDefault="00E73D0A" w:rsidP="00E73D0A">
            <w:pPr>
              <w:tabs>
                <w:tab w:val="clear" w:pos="907"/>
                <w:tab w:val="clear" w:pos="9185"/>
                <w:tab w:val="left" w:pos="2113"/>
              </w:tabs>
              <w:jc w:val="center"/>
              <w:rPr>
                <w:rFonts w:ascii="Arial" w:hAnsi="Arial" w:cs="Arial"/>
                <w:sz w:val="18"/>
                <w:szCs w:val="21"/>
              </w:rPr>
            </w:pPr>
            <w:r>
              <w:rPr>
                <w:rFonts w:ascii="Arial" w:hAnsi="Arial" w:cs="Arial"/>
                <w:color w:val="000000"/>
                <w:sz w:val="18"/>
                <w:szCs w:val="21"/>
              </w:rPr>
              <w:t>Newton Real Return Fund</w:t>
            </w:r>
          </w:p>
        </w:tc>
        <w:tc>
          <w:tcPr>
            <w:tcW w:w="833" w:type="dxa"/>
            <w:tcBorders>
              <w:top w:val="nil"/>
              <w:left w:val="nil"/>
              <w:bottom w:val="single" w:sz="4" w:space="0" w:color="auto"/>
              <w:right w:val="single" w:sz="8" w:space="0" w:color="auto"/>
            </w:tcBorders>
            <w:shd w:val="clear" w:color="auto" w:fill="auto"/>
            <w:noWrap/>
            <w:vAlign w:val="center"/>
          </w:tcPr>
          <w:p w14:paraId="7EF7DBD5" w14:textId="18FBA9EF"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color w:val="000000"/>
                <w:sz w:val="18"/>
                <w:szCs w:val="21"/>
              </w:rPr>
            </w:pPr>
            <w:r>
              <w:rPr>
                <w:rFonts w:ascii="Arial" w:hAnsi="Arial" w:cs="Arial"/>
                <w:color w:val="000000"/>
                <w:sz w:val="18"/>
                <w:szCs w:val="21"/>
              </w:rPr>
              <w:t>0%</w:t>
            </w:r>
          </w:p>
        </w:tc>
        <w:tc>
          <w:tcPr>
            <w:tcW w:w="777" w:type="dxa"/>
            <w:tcBorders>
              <w:top w:val="nil"/>
              <w:left w:val="nil"/>
              <w:bottom w:val="single" w:sz="4" w:space="0" w:color="auto"/>
              <w:right w:val="single" w:sz="8" w:space="0" w:color="auto"/>
            </w:tcBorders>
            <w:shd w:val="clear" w:color="auto" w:fill="auto"/>
            <w:vAlign w:val="center"/>
          </w:tcPr>
          <w:p w14:paraId="05B9774A" w14:textId="65363F77" w:rsidR="00E73D0A" w:rsidRPr="006160D0" w:rsidRDefault="00E73D0A" w:rsidP="00E73D0A">
            <w:pPr>
              <w:tabs>
                <w:tab w:val="left" w:pos="6300"/>
              </w:tabs>
              <w:spacing w:line="240" w:lineRule="auto"/>
              <w:ind w:right="58"/>
              <w:jc w:val="center"/>
              <w:rPr>
                <w:rFonts w:ascii="Arial" w:hAnsi="Arial" w:cs="Arial"/>
                <w:sz w:val="18"/>
                <w:szCs w:val="21"/>
              </w:rPr>
            </w:pPr>
            <w:r>
              <w:rPr>
                <w:rFonts w:ascii="Arial" w:hAnsi="Arial" w:cs="Arial"/>
                <w:sz w:val="18"/>
                <w:szCs w:val="21"/>
              </w:rPr>
              <w:t>20%</w:t>
            </w:r>
          </w:p>
        </w:tc>
        <w:tc>
          <w:tcPr>
            <w:tcW w:w="777" w:type="dxa"/>
            <w:tcBorders>
              <w:top w:val="nil"/>
              <w:left w:val="nil"/>
              <w:bottom w:val="single" w:sz="4" w:space="0" w:color="auto"/>
              <w:right w:val="single" w:sz="8" w:space="0" w:color="auto"/>
            </w:tcBorders>
            <w:shd w:val="clear" w:color="auto" w:fill="auto"/>
            <w:vAlign w:val="center"/>
          </w:tcPr>
          <w:p w14:paraId="3721FD91" w14:textId="1DAE36AE"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color w:val="000000"/>
                <w:sz w:val="18"/>
                <w:szCs w:val="21"/>
              </w:rPr>
            </w:pPr>
            <w:r>
              <w:rPr>
                <w:rFonts w:ascii="Arial" w:hAnsi="Arial" w:cs="Arial"/>
                <w:color w:val="000000"/>
                <w:sz w:val="18"/>
                <w:szCs w:val="21"/>
              </w:rPr>
              <w:t>40%</w:t>
            </w:r>
          </w:p>
        </w:tc>
        <w:tc>
          <w:tcPr>
            <w:tcW w:w="777" w:type="dxa"/>
            <w:tcBorders>
              <w:top w:val="nil"/>
              <w:left w:val="nil"/>
              <w:bottom w:val="single" w:sz="4" w:space="0" w:color="auto"/>
              <w:right w:val="single" w:sz="8" w:space="0" w:color="auto"/>
            </w:tcBorders>
            <w:vAlign w:val="center"/>
          </w:tcPr>
          <w:p w14:paraId="2E09798C" w14:textId="258033BE"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60%</w:t>
            </w:r>
          </w:p>
        </w:tc>
        <w:tc>
          <w:tcPr>
            <w:tcW w:w="777" w:type="dxa"/>
            <w:tcBorders>
              <w:top w:val="nil"/>
              <w:left w:val="nil"/>
              <w:bottom w:val="single" w:sz="4" w:space="0" w:color="auto"/>
              <w:right w:val="single" w:sz="8" w:space="0" w:color="auto"/>
            </w:tcBorders>
            <w:vAlign w:val="center"/>
          </w:tcPr>
          <w:p w14:paraId="3C88A97B" w14:textId="5B9362B2"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80%</w:t>
            </w:r>
          </w:p>
        </w:tc>
        <w:tc>
          <w:tcPr>
            <w:tcW w:w="777" w:type="dxa"/>
            <w:tcBorders>
              <w:top w:val="nil"/>
              <w:left w:val="nil"/>
              <w:bottom w:val="single" w:sz="4" w:space="0" w:color="auto"/>
              <w:right w:val="single" w:sz="8" w:space="0" w:color="auto"/>
            </w:tcBorders>
            <w:vAlign w:val="center"/>
          </w:tcPr>
          <w:p w14:paraId="61DAA14F" w14:textId="6B25A1B0"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100%</w:t>
            </w:r>
          </w:p>
        </w:tc>
        <w:tc>
          <w:tcPr>
            <w:tcW w:w="777" w:type="dxa"/>
            <w:tcBorders>
              <w:top w:val="nil"/>
              <w:left w:val="nil"/>
              <w:bottom w:val="single" w:sz="4" w:space="0" w:color="auto"/>
              <w:right w:val="single" w:sz="8" w:space="0" w:color="auto"/>
            </w:tcBorders>
            <w:vAlign w:val="center"/>
          </w:tcPr>
          <w:p w14:paraId="1B6B346F" w14:textId="67A40186"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80%</w:t>
            </w:r>
          </w:p>
        </w:tc>
        <w:tc>
          <w:tcPr>
            <w:tcW w:w="777" w:type="dxa"/>
            <w:tcBorders>
              <w:top w:val="nil"/>
              <w:left w:val="nil"/>
              <w:bottom w:val="single" w:sz="4" w:space="0" w:color="auto"/>
              <w:right w:val="single" w:sz="8" w:space="0" w:color="auto"/>
            </w:tcBorders>
            <w:vAlign w:val="center"/>
          </w:tcPr>
          <w:p w14:paraId="7AC74CE7" w14:textId="0E03F1F1"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60%</w:t>
            </w:r>
          </w:p>
        </w:tc>
        <w:tc>
          <w:tcPr>
            <w:tcW w:w="777" w:type="dxa"/>
            <w:tcBorders>
              <w:top w:val="nil"/>
              <w:left w:val="nil"/>
              <w:bottom w:val="single" w:sz="4" w:space="0" w:color="auto"/>
              <w:right w:val="single" w:sz="8" w:space="0" w:color="auto"/>
            </w:tcBorders>
            <w:vAlign w:val="center"/>
          </w:tcPr>
          <w:p w14:paraId="4ADE3E2B" w14:textId="420AA174"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40%</w:t>
            </w:r>
          </w:p>
        </w:tc>
        <w:tc>
          <w:tcPr>
            <w:tcW w:w="777" w:type="dxa"/>
            <w:tcBorders>
              <w:top w:val="nil"/>
              <w:left w:val="nil"/>
              <w:bottom w:val="single" w:sz="4" w:space="0" w:color="auto"/>
              <w:right w:val="single" w:sz="8" w:space="0" w:color="auto"/>
            </w:tcBorders>
            <w:vAlign w:val="center"/>
          </w:tcPr>
          <w:p w14:paraId="4B03C206" w14:textId="341A7612"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20%</w:t>
            </w:r>
          </w:p>
        </w:tc>
        <w:tc>
          <w:tcPr>
            <w:tcW w:w="777" w:type="dxa"/>
            <w:tcBorders>
              <w:top w:val="nil"/>
              <w:left w:val="nil"/>
              <w:bottom w:val="single" w:sz="4" w:space="0" w:color="auto"/>
              <w:right w:val="single" w:sz="8" w:space="0" w:color="auto"/>
            </w:tcBorders>
            <w:vAlign w:val="center"/>
          </w:tcPr>
          <w:p w14:paraId="6A37482E" w14:textId="77777777"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sz w:val="18"/>
                <w:szCs w:val="21"/>
              </w:rPr>
            </w:pPr>
            <w:r w:rsidRPr="006160D0">
              <w:rPr>
                <w:rFonts w:ascii="Arial" w:hAnsi="Arial" w:cs="Arial"/>
                <w:sz w:val="18"/>
                <w:szCs w:val="21"/>
              </w:rPr>
              <w:t>0%</w:t>
            </w:r>
          </w:p>
        </w:tc>
      </w:tr>
      <w:tr w:rsidR="00E73D0A" w:rsidRPr="006160D0" w14:paraId="049CBF0C" w14:textId="77777777" w:rsidTr="00D738D7">
        <w:trPr>
          <w:trHeight w:val="563"/>
        </w:trPr>
        <w:tc>
          <w:tcPr>
            <w:tcW w:w="1277" w:type="dxa"/>
            <w:tcBorders>
              <w:top w:val="nil"/>
              <w:left w:val="single" w:sz="8" w:space="0" w:color="auto"/>
              <w:bottom w:val="single" w:sz="4" w:space="0" w:color="auto"/>
              <w:right w:val="single" w:sz="8" w:space="0" w:color="auto"/>
            </w:tcBorders>
            <w:shd w:val="clear" w:color="auto" w:fill="auto"/>
            <w:noWrap/>
            <w:vAlign w:val="center"/>
          </w:tcPr>
          <w:p w14:paraId="4DBDF922" w14:textId="77777777" w:rsidR="00E73D0A" w:rsidRDefault="00E73D0A" w:rsidP="00E73D0A">
            <w:pPr>
              <w:tabs>
                <w:tab w:val="clear" w:pos="907"/>
                <w:tab w:val="clear" w:pos="9185"/>
                <w:tab w:val="left" w:pos="2113"/>
              </w:tabs>
              <w:jc w:val="center"/>
              <w:rPr>
                <w:rFonts w:ascii="Arial" w:hAnsi="Arial" w:cs="Arial"/>
                <w:sz w:val="18"/>
                <w:szCs w:val="21"/>
              </w:rPr>
            </w:pPr>
            <w:r>
              <w:rPr>
                <w:rFonts w:ascii="Arial" w:hAnsi="Arial" w:cs="Arial"/>
                <w:sz w:val="18"/>
                <w:szCs w:val="21"/>
              </w:rPr>
              <w:t>L&amp;G Pre-Retirement Fund</w:t>
            </w:r>
          </w:p>
        </w:tc>
        <w:tc>
          <w:tcPr>
            <w:tcW w:w="833" w:type="dxa"/>
            <w:tcBorders>
              <w:top w:val="nil"/>
              <w:left w:val="nil"/>
              <w:bottom w:val="single" w:sz="4" w:space="0" w:color="auto"/>
              <w:right w:val="single" w:sz="8" w:space="0" w:color="auto"/>
            </w:tcBorders>
            <w:shd w:val="clear" w:color="auto" w:fill="auto"/>
            <w:noWrap/>
            <w:vAlign w:val="center"/>
          </w:tcPr>
          <w:p w14:paraId="0C0B7C06" w14:textId="77777777" w:rsidR="00E73D0A" w:rsidRDefault="00E73D0A" w:rsidP="00E73D0A">
            <w:pPr>
              <w:suppressLineNumbers w:val="0"/>
              <w:tabs>
                <w:tab w:val="clear" w:pos="907"/>
                <w:tab w:val="clear" w:pos="9185"/>
              </w:tabs>
              <w:suppressAutoHyphens w:val="0"/>
              <w:spacing w:line="240" w:lineRule="auto"/>
              <w:jc w:val="center"/>
              <w:rPr>
                <w:rFonts w:ascii="Arial" w:hAnsi="Arial" w:cs="Arial"/>
                <w:color w:val="000000"/>
                <w:sz w:val="18"/>
                <w:szCs w:val="21"/>
              </w:rPr>
            </w:pPr>
            <w:r>
              <w:rPr>
                <w:rFonts w:ascii="Arial" w:hAnsi="Arial" w:cs="Arial"/>
                <w:color w:val="000000"/>
                <w:sz w:val="18"/>
                <w:szCs w:val="21"/>
              </w:rPr>
              <w:t>0%</w:t>
            </w:r>
          </w:p>
        </w:tc>
        <w:tc>
          <w:tcPr>
            <w:tcW w:w="777" w:type="dxa"/>
            <w:tcBorders>
              <w:top w:val="nil"/>
              <w:left w:val="nil"/>
              <w:bottom w:val="single" w:sz="4" w:space="0" w:color="auto"/>
              <w:right w:val="single" w:sz="8" w:space="0" w:color="auto"/>
            </w:tcBorders>
            <w:shd w:val="clear" w:color="auto" w:fill="auto"/>
            <w:vAlign w:val="center"/>
          </w:tcPr>
          <w:p w14:paraId="2FA1B085" w14:textId="597F8F57" w:rsidR="00E73D0A" w:rsidRDefault="00E73D0A" w:rsidP="00E73D0A">
            <w:pPr>
              <w:tabs>
                <w:tab w:val="left" w:pos="6300"/>
              </w:tabs>
              <w:spacing w:line="240" w:lineRule="auto"/>
              <w:ind w:right="58"/>
              <w:jc w:val="center"/>
              <w:rPr>
                <w:rFonts w:ascii="Arial" w:hAnsi="Arial" w:cs="Arial"/>
                <w:sz w:val="18"/>
                <w:szCs w:val="21"/>
              </w:rPr>
            </w:pPr>
            <w:r>
              <w:rPr>
                <w:rFonts w:ascii="Arial" w:hAnsi="Arial" w:cs="Arial"/>
                <w:sz w:val="18"/>
                <w:szCs w:val="21"/>
              </w:rPr>
              <w:t>0%</w:t>
            </w:r>
          </w:p>
        </w:tc>
        <w:tc>
          <w:tcPr>
            <w:tcW w:w="777" w:type="dxa"/>
            <w:tcBorders>
              <w:top w:val="nil"/>
              <w:left w:val="nil"/>
              <w:bottom w:val="single" w:sz="4" w:space="0" w:color="auto"/>
              <w:right w:val="single" w:sz="8" w:space="0" w:color="auto"/>
            </w:tcBorders>
            <w:shd w:val="clear" w:color="auto" w:fill="auto"/>
            <w:vAlign w:val="center"/>
          </w:tcPr>
          <w:p w14:paraId="68FDBCF3" w14:textId="6E8FBDF8" w:rsidR="00E73D0A" w:rsidRDefault="00E73D0A" w:rsidP="00E73D0A">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0%</w:t>
            </w:r>
          </w:p>
        </w:tc>
        <w:tc>
          <w:tcPr>
            <w:tcW w:w="777" w:type="dxa"/>
            <w:tcBorders>
              <w:top w:val="nil"/>
              <w:left w:val="nil"/>
              <w:bottom w:val="single" w:sz="4" w:space="0" w:color="auto"/>
              <w:right w:val="single" w:sz="8" w:space="0" w:color="auto"/>
            </w:tcBorders>
            <w:vAlign w:val="center"/>
          </w:tcPr>
          <w:p w14:paraId="69469FED" w14:textId="5F67B6FA" w:rsidR="00E73D0A" w:rsidRDefault="00E73D0A" w:rsidP="00E73D0A">
            <w:pPr>
              <w:suppressLineNumbers w:val="0"/>
              <w:tabs>
                <w:tab w:val="clear" w:pos="907"/>
                <w:tab w:val="clear" w:pos="9185"/>
              </w:tabs>
              <w:suppressAutoHyphens w:val="0"/>
              <w:spacing w:line="240" w:lineRule="auto"/>
              <w:jc w:val="center"/>
              <w:rPr>
                <w:rFonts w:ascii="Arial" w:hAnsi="Arial" w:cs="Arial"/>
                <w:sz w:val="18"/>
                <w:szCs w:val="21"/>
              </w:rPr>
            </w:pPr>
            <w:r w:rsidRPr="006160D0">
              <w:rPr>
                <w:rFonts w:ascii="Arial" w:hAnsi="Arial" w:cs="Arial"/>
                <w:color w:val="000000"/>
                <w:sz w:val="18"/>
                <w:szCs w:val="21"/>
              </w:rPr>
              <w:t>0%</w:t>
            </w:r>
          </w:p>
        </w:tc>
        <w:tc>
          <w:tcPr>
            <w:tcW w:w="777" w:type="dxa"/>
            <w:tcBorders>
              <w:top w:val="nil"/>
              <w:left w:val="nil"/>
              <w:bottom w:val="single" w:sz="4" w:space="0" w:color="auto"/>
              <w:right w:val="single" w:sz="8" w:space="0" w:color="auto"/>
            </w:tcBorders>
            <w:vAlign w:val="center"/>
          </w:tcPr>
          <w:p w14:paraId="55722548" w14:textId="3B749466" w:rsidR="00E73D0A" w:rsidRDefault="00E73D0A" w:rsidP="00E73D0A">
            <w:pPr>
              <w:suppressLineNumbers w:val="0"/>
              <w:tabs>
                <w:tab w:val="clear" w:pos="907"/>
                <w:tab w:val="clear" w:pos="9185"/>
              </w:tabs>
              <w:suppressAutoHyphens w:val="0"/>
              <w:spacing w:line="240" w:lineRule="auto"/>
              <w:jc w:val="center"/>
              <w:rPr>
                <w:rFonts w:ascii="Arial" w:hAnsi="Arial" w:cs="Arial"/>
                <w:sz w:val="18"/>
                <w:szCs w:val="21"/>
              </w:rPr>
            </w:pPr>
            <w:r w:rsidRPr="006160D0">
              <w:rPr>
                <w:rFonts w:ascii="Arial" w:hAnsi="Arial" w:cs="Arial"/>
                <w:color w:val="000000"/>
                <w:sz w:val="18"/>
                <w:szCs w:val="21"/>
              </w:rPr>
              <w:t>0%</w:t>
            </w:r>
          </w:p>
        </w:tc>
        <w:tc>
          <w:tcPr>
            <w:tcW w:w="777" w:type="dxa"/>
            <w:tcBorders>
              <w:top w:val="nil"/>
              <w:left w:val="nil"/>
              <w:bottom w:val="single" w:sz="4" w:space="0" w:color="auto"/>
              <w:right w:val="single" w:sz="8" w:space="0" w:color="auto"/>
            </w:tcBorders>
            <w:vAlign w:val="center"/>
          </w:tcPr>
          <w:p w14:paraId="170D215C" w14:textId="4C7F1987" w:rsidR="00E73D0A" w:rsidRDefault="00E73D0A" w:rsidP="00E73D0A">
            <w:pPr>
              <w:suppressLineNumbers w:val="0"/>
              <w:tabs>
                <w:tab w:val="clear" w:pos="907"/>
                <w:tab w:val="clear" w:pos="9185"/>
              </w:tabs>
              <w:suppressAutoHyphens w:val="0"/>
              <w:spacing w:line="240" w:lineRule="auto"/>
              <w:jc w:val="center"/>
              <w:rPr>
                <w:rFonts w:ascii="Arial" w:hAnsi="Arial" w:cs="Arial"/>
                <w:sz w:val="18"/>
                <w:szCs w:val="21"/>
              </w:rPr>
            </w:pPr>
            <w:r w:rsidRPr="006160D0">
              <w:rPr>
                <w:rFonts w:ascii="Arial" w:hAnsi="Arial" w:cs="Arial"/>
                <w:color w:val="000000"/>
                <w:sz w:val="18"/>
                <w:szCs w:val="21"/>
              </w:rPr>
              <w:t>0%</w:t>
            </w:r>
          </w:p>
        </w:tc>
        <w:tc>
          <w:tcPr>
            <w:tcW w:w="777" w:type="dxa"/>
            <w:tcBorders>
              <w:top w:val="nil"/>
              <w:left w:val="nil"/>
              <w:bottom w:val="single" w:sz="4" w:space="0" w:color="auto"/>
              <w:right w:val="single" w:sz="8" w:space="0" w:color="auto"/>
            </w:tcBorders>
            <w:vAlign w:val="center"/>
          </w:tcPr>
          <w:p w14:paraId="6DC596F8" w14:textId="626E0D3A" w:rsidR="00E73D0A" w:rsidRDefault="00E73D0A" w:rsidP="00E73D0A">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15%</w:t>
            </w:r>
          </w:p>
        </w:tc>
        <w:tc>
          <w:tcPr>
            <w:tcW w:w="777" w:type="dxa"/>
            <w:tcBorders>
              <w:top w:val="nil"/>
              <w:left w:val="nil"/>
              <w:bottom w:val="single" w:sz="4" w:space="0" w:color="auto"/>
              <w:right w:val="single" w:sz="8" w:space="0" w:color="auto"/>
            </w:tcBorders>
            <w:vAlign w:val="center"/>
          </w:tcPr>
          <w:p w14:paraId="503D8C0C" w14:textId="52C33784" w:rsidR="00E73D0A" w:rsidRDefault="00E73D0A" w:rsidP="00E73D0A">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30%</w:t>
            </w:r>
          </w:p>
        </w:tc>
        <w:tc>
          <w:tcPr>
            <w:tcW w:w="777" w:type="dxa"/>
            <w:tcBorders>
              <w:top w:val="nil"/>
              <w:left w:val="nil"/>
              <w:bottom w:val="single" w:sz="4" w:space="0" w:color="auto"/>
              <w:right w:val="single" w:sz="8" w:space="0" w:color="auto"/>
            </w:tcBorders>
            <w:vAlign w:val="center"/>
          </w:tcPr>
          <w:p w14:paraId="64328E2F" w14:textId="029CB4A7" w:rsidR="00E73D0A" w:rsidRDefault="00E73D0A" w:rsidP="00E73D0A">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45%</w:t>
            </w:r>
          </w:p>
        </w:tc>
        <w:tc>
          <w:tcPr>
            <w:tcW w:w="777" w:type="dxa"/>
            <w:tcBorders>
              <w:top w:val="nil"/>
              <w:left w:val="nil"/>
              <w:bottom w:val="single" w:sz="4" w:space="0" w:color="auto"/>
              <w:right w:val="single" w:sz="8" w:space="0" w:color="auto"/>
            </w:tcBorders>
            <w:vAlign w:val="center"/>
          </w:tcPr>
          <w:p w14:paraId="02859B83" w14:textId="5148019F" w:rsidR="00E73D0A" w:rsidRDefault="00E73D0A" w:rsidP="00E73D0A">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60%</w:t>
            </w:r>
          </w:p>
        </w:tc>
        <w:tc>
          <w:tcPr>
            <w:tcW w:w="777" w:type="dxa"/>
            <w:tcBorders>
              <w:top w:val="nil"/>
              <w:left w:val="nil"/>
              <w:bottom w:val="single" w:sz="4" w:space="0" w:color="auto"/>
              <w:right w:val="single" w:sz="8" w:space="0" w:color="auto"/>
            </w:tcBorders>
            <w:vAlign w:val="center"/>
          </w:tcPr>
          <w:p w14:paraId="5AAB9C6C" w14:textId="44CB6FA6"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sz w:val="18"/>
                <w:szCs w:val="21"/>
              </w:rPr>
            </w:pPr>
            <w:r>
              <w:rPr>
                <w:rFonts w:ascii="Arial" w:hAnsi="Arial" w:cs="Arial"/>
                <w:sz w:val="18"/>
                <w:szCs w:val="21"/>
              </w:rPr>
              <w:t>75%</w:t>
            </w:r>
          </w:p>
        </w:tc>
      </w:tr>
      <w:tr w:rsidR="00E73D0A" w:rsidRPr="006160D0" w14:paraId="20064204" w14:textId="77777777" w:rsidTr="00D738D7">
        <w:trPr>
          <w:trHeight w:val="551"/>
        </w:trPr>
        <w:tc>
          <w:tcPr>
            <w:tcW w:w="127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C59D161" w14:textId="77777777"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L&amp;G Cash Fund</w:t>
            </w:r>
          </w:p>
        </w:tc>
        <w:tc>
          <w:tcPr>
            <w:tcW w:w="833" w:type="dxa"/>
            <w:tcBorders>
              <w:top w:val="single" w:sz="4" w:space="0" w:color="auto"/>
              <w:left w:val="nil"/>
              <w:bottom w:val="single" w:sz="8" w:space="0" w:color="auto"/>
              <w:right w:val="single" w:sz="8" w:space="0" w:color="auto"/>
            </w:tcBorders>
            <w:shd w:val="clear" w:color="auto" w:fill="auto"/>
            <w:noWrap/>
            <w:vAlign w:val="center"/>
          </w:tcPr>
          <w:p w14:paraId="6CC23B8B" w14:textId="6FE5402A"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color w:val="000000"/>
                <w:sz w:val="18"/>
                <w:szCs w:val="21"/>
              </w:rPr>
            </w:pPr>
            <w:r>
              <w:rPr>
                <w:rFonts w:ascii="Arial" w:hAnsi="Arial" w:cs="Arial"/>
                <w:sz w:val="18"/>
                <w:szCs w:val="21"/>
              </w:rPr>
              <w:t>0%</w:t>
            </w:r>
          </w:p>
        </w:tc>
        <w:tc>
          <w:tcPr>
            <w:tcW w:w="777" w:type="dxa"/>
            <w:tcBorders>
              <w:top w:val="single" w:sz="4" w:space="0" w:color="auto"/>
              <w:left w:val="nil"/>
              <w:bottom w:val="single" w:sz="8" w:space="0" w:color="auto"/>
              <w:right w:val="single" w:sz="8" w:space="0" w:color="auto"/>
            </w:tcBorders>
            <w:shd w:val="clear" w:color="auto" w:fill="auto"/>
            <w:vAlign w:val="center"/>
          </w:tcPr>
          <w:p w14:paraId="7273445F" w14:textId="271ADB4B"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0%</w:t>
            </w:r>
          </w:p>
        </w:tc>
        <w:tc>
          <w:tcPr>
            <w:tcW w:w="777" w:type="dxa"/>
            <w:tcBorders>
              <w:top w:val="single" w:sz="4" w:space="0" w:color="auto"/>
              <w:left w:val="nil"/>
              <w:bottom w:val="single" w:sz="8" w:space="0" w:color="auto"/>
              <w:right w:val="single" w:sz="8" w:space="0" w:color="auto"/>
            </w:tcBorders>
            <w:shd w:val="clear" w:color="auto" w:fill="auto"/>
            <w:vAlign w:val="center"/>
          </w:tcPr>
          <w:p w14:paraId="4B12DA89" w14:textId="6E288367"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0%</w:t>
            </w:r>
          </w:p>
        </w:tc>
        <w:tc>
          <w:tcPr>
            <w:tcW w:w="777" w:type="dxa"/>
            <w:tcBorders>
              <w:top w:val="single" w:sz="4" w:space="0" w:color="auto"/>
              <w:left w:val="nil"/>
              <w:bottom w:val="single" w:sz="8" w:space="0" w:color="auto"/>
              <w:right w:val="single" w:sz="8" w:space="0" w:color="auto"/>
            </w:tcBorders>
            <w:vAlign w:val="center"/>
          </w:tcPr>
          <w:p w14:paraId="2D569482" w14:textId="4C5FA2C9"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0%</w:t>
            </w:r>
          </w:p>
        </w:tc>
        <w:tc>
          <w:tcPr>
            <w:tcW w:w="777" w:type="dxa"/>
            <w:tcBorders>
              <w:top w:val="single" w:sz="4" w:space="0" w:color="auto"/>
              <w:left w:val="nil"/>
              <w:bottom w:val="single" w:sz="8" w:space="0" w:color="auto"/>
              <w:right w:val="single" w:sz="8" w:space="0" w:color="auto"/>
            </w:tcBorders>
            <w:vAlign w:val="center"/>
          </w:tcPr>
          <w:p w14:paraId="6D8C17CA" w14:textId="4D830E7A"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0%</w:t>
            </w:r>
          </w:p>
        </w:tc>
        <w:tc>
          <w:tcPr>
            <w:tcW w:w="777" w:type="dxa"/>
            <w:tcBorders>
              <w:top w:val="single" w:sz="4" w:space="0" w:color="auto"/>
              <w:left w:val="nil"/>
              <w:bottom w:val="single" w:sz="8" w:space="0" w:color="auto"/>
              <w:right w:val="single" w:sz="8" w:space="0" w:color="auto"/>
            </w:tcBorders>
            <w:vAlign w:val="center"/>
          </w:tcPr>
          <w:p w14:paraId="3279950C" w14:textId="77777777"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0%</w:t>
            </w:r>
          </w:p>
        </w:tc>
        <w:tc>
          <w:tcPr>
            <w:tcW w:w="777" w:type="dxa"/>
            <w:tcBorders>
              <w:top w:val="single" w:sz="4" w:space="0" w:color="auto"/>
              <w:left w:val="nil"/>
              <w:bottom w:val="single" w:sz="8" w:space="0" w:color="auto"/>
              <w:right w:val="single" w:sz="8" w:space="0" w:color="auto"/>
            </w:tcBorders>
            <w:vAlign w:val="center"/>
          </w:tcPr>
          <w:p w14:paraId="7D57C027" w14:textId="24932418"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color w:val="000000"/>
                <w:sz w:val="18"/>
                <w:szCs w:val="21"/>
              </w:rPr>
            </w:pPr>
            <w:r>
              <w:rPr>
                <w:rFonts w:ascii="Arial" w:hAnsi="Arial" w:cs="Arial"/>
                <w:color w:val="000000"/>
                <w:sz w:val="18"/>
                <w:szCs w:val="21"/>
              </w:rPr>
              <w:t>5</w:t>
            </w:r>
            <w:r w:rsidRPr="006160D0">
              <w:rPr>
                <w:rFonts w:ascii="Arial" w:hAnsi="Arial" w:cs="Arial"/>
                <w:color w:val="000000"/>
                <w:sz w:val="18"/>
                <w:szCs w:val="21"/>
              </w:rPr>
              <w:t>%</w:t>
            </w:r>
          </w:p>
        </w:tc>
        <w:tc>
          <w:tcPr>
            <w:tcW w:w="777" w:type="dxa"/>
            <w:tcBorders>
              <w:top w:val="single" w:sz="4" w:space="0" w:color="auto"/>
              <w:left w:val="nil"/>
              <w:bottom w:val="single" w:sz="8" w:space="0" w:color="auto"/>
              <w:right w:val="single" w:sz="8" w:space="0" w:color="auto"/>
            </w:tcBorders>
            <w:vAlign w:val="center"/>
          </w:tcPr>
          <w:p w14:paraId="2A738D5C" w14:textId="1A9DCC10"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color w:val="000000"/>
                <w:sz w:val="18"/>
                <w:szCs w:val="21"/>
              </w:rPr>
            </w:pPr>
            <w:r>
              <w:rPr>
                <w:rFonts w:ascii="Arial" w:hAnsi="Arial" w:cs="Arial"/>
                <w:color w:val="000000"/>
                <w:sz w:val="18"/>
                <w:szCs w:val="21"/>
              </w:rPr>
              <w:t>10%</w:t>
            </w:r>
          </w:p>
        </w:tc>
        <w:tc>
          <w:tcPr>
            <w:tcW w:w="777" w:type="dxa"/>
            <w:tcBorders>
              <w:top w:val="single" w:sz="4" w:space="0" w:color="auto"/>
              <w:left w:val="nil"/>
              <w:bottom w:val="single" w:sz="8" w:space="0" w:color="auto"/>
              <w:right w:val="single" w:sz="8" w:space="0" w:color="auto"/>
            </w:tcBorders>
            <w:vAlign w:val="center"/>
          </w:tcPr>
          <w:p w14:paraId="2E02B932" w14:textId="45BA268A"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color w:val="000000"/>
                <w:sz w:val="18"/>
                <w:szCs w:val="21"/>
              </w:rPr>
            </w:pPr>
            <w:r>
              <w:rPr>
                <w:rFonts w:ascii="Arial" w:hAnsi="Arial" w:cs="Arial"/>
                <w:color w:val="000000"/>
                <w:sz w:val="18"/>
                <w:szCs w:val="21"/>
              </w:rPr>
              <w:t>15%</w:t>
            </w:r>
          </w:p>
        </w:tc>
        <w:tc>
          <w:tcPr>
            <w:tcW w:w="777" w:type="dxa"/>
            <w:tcBorders>
              <w:top w:val="single" w:sz="4" w:space="0" w:color="auto"/>
              <w:left w:val="nil"/>
              <w:bottom w:val="single" w:sz="8" w:space="0" w:color="auto"/>
              <w:right w:val="single" w:sz="8" w:space="0" w:color="auto"/>
            </w:tcBorders>
            <w:vAlign w:val="center"/>
          </w:tcPr>
          <w:p w14:paraId="39878489" w14:textId="42B36720"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color w:val="000000"/>
                <w:sz w:val="18"/>
                <w:szCs w:val="21"/>
              </w:rPr>
            </w:pPr>
            <w:r>
              <w:rPr>
                <w:rFonts w:ascii="Arial" w:hAnsi="Arial" w:cs="Arial"/>
                <w:color w:val="000000"/>
                <w:sz w:val="18"/>
                <w:szCs w:val="21"/>
              </w:rPr>
              <w:t>20%</w:t>
            </w:r>
          </w:p>
        </w:tc>
        <w:tc>
          <w:tcPr>
            <w:tcW w:w="777" w:type="dxa"/>
            <w:tcBorders>
              <w:top w:val="single" w:sz="4" w:space="0" w:color="auto"/>
              <w:left w:val="nil"/>
              <w:bottom w:val="single" w:sz="8" w:space="0" w:color="auto"/>
              <w:right w:val="single" w:sz="8" w:space="0" w:color="auto"/>
            </w:tcBorders>
            <w:vAlign w:val="center"/>
          </w:tcPr>
          <w:p w14:paraId="1EF45FA7" w14:textId="1DF8C05C"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color w:val="000000"/>
                <w:sz w:val="18"/>
                <w:szCs w:val="21"/>
              </w:rPr>
            </w:pPr>
            <w:r>
              <w:rPr>
                <w:rFonts w:ascii="Arial" w:hAnsi="Arial" w:cs="Arial"/>
                <w:color w:val="000000"/>
                <w:sz w:val="18"/>
                <w:szCs w:val="21"/>
              </w:rPr>
              <w:t>25%</w:t>
            </w:r>
          </w:p>
        </w:tc>
      </w:tr>
      <w:tr w:rsidR="00E73D0A" w:rsidRPr="006160D0" w14:paraId="7E5BAAA3" w14:textId="77777777" w:rsidTr="00D738D7">
        <w:trPr>
          <w:trHeight w:val="708"/>
        </w:trPr>
        <w:tc>
          <w:tcPr>
            <w:tcW w:w="1277" w:type="dxa"/>
            <w:tcBorders>
              <w:top w:val="nil"/>
              <w:left w:val="single" w:sz="8" w:space="0" w:color="auto"/>
              <w:bottom w:val="single" w:sz="8" w:space="0" w:color="auto"/>
              <w:right w:val="single" w:sz="8" w:space="0" w:color="auto"/>
            </w:tcBorders>
            <w:shd w:val="clear" w:color="auto" w:fill="auto"/>
            <w:noWrap/>
            <w:vAlign w:val="center"/>
          </w:tcPr>
          <w:p w14:paraId="2B1F5DB5" w14:textId="77777777"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Total</w:t>
            </w:r>
          </w:p>
        </w:tc>
        <w:tc>
          <w:tcPr>
            <w:tcW w:w="833" w:type="dxa"/>
            <w:tcBorders>
              <w:top w:val="nil"/>
              <w:left w:val="nil"/>
              <w:bottom w:val="single" w:sz="8" w:space="0" w:color="auto"/>
              <w:right w:val="single" w:sz="8" w:space="0" w:color="auto"/>
            </w:tcBorders>
            <w:shd w:val="clear" w:color="auto" w:fill="auto"/>
            <w:noWrap/>
            <w:vAlign w:val="center"/>
          </w:tcPr>
          <w:p w14:paraId="6D5AC2D1" w14:textId="77777777"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100%</w:t>
            </w:r>
          </w:p>
        </w:tc>
        <w:tc>
          <w:tcPr>
            <w:tcW w:w="777" w:type="dxa"/>
            <w:tcBorders>
              <w:top w:val="nil"/>
              <w:left w:val="nil"/>
              <w:bottom w:val="single" w:sz="8" w:space="0" w:color="auto"/>
              <w:right w:val="single" w:sz="8" w:space="0" w:color="auto"/>
            </w:tcBorders>
            <w:shd w:val="clear" w:color="auto" w:fill="auto"/>
            <w:vAlign w:val="center"/>
          </w:tcPr>
          <w:p w14:paraId="4DF0B281" w14:textId="77777777"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100%</w:t>
            </w:r>
          </w:p>
        </w:tc>
        <w:tc>
          <w:tcPr>
            <w:tcW w:w="777" w:type="dxa"/>
            <w:tcBorders>
              <w:top w:val="nil"/>
              <w:left w:val="nil"/>
              <w:bottom w:val="single" w:sz="8" w:space="0" w:color="auto"/>
              <w:right w:val="single" w:sz="8" w:space="0" w:color="auto"/>
            </w:tcBorders>
            <w:shd w:val="clear" w:color="auto" w:fill="auto"/>
            <w:vAlign w:val="center"/>
          </w:tcPr>
          <w:p w14:paraId="25FCCBF7" w14:textId="77777777"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100%</w:t>
            </w:r>
          </w:p>
        </w:tc>
        <w:tc>
          <w:tcPr>
            <w:tcW w:w="777" w:type="dxa"/>
            <w:tcBorders>
              <w:top w:val="nil"/>
              <w:left w:val="nil"/>
              <w:bottom w:val="single" w:sz="8" w:space="0" w:color="auto"/>
              <w:right w:val="single" w:sz="8" w:space="0" w:color="auto"/>
            </w:tcBorders>
            <w:vAlign w:val="center"/>
          </w:tcPr>
          <w:p w14:paraId="6E29990C" w14:textId="77777777"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100%</w:t>
            </w:r>
          </w:p>
        </w:tc>
        <w:tc>
          <w:tcPr>
            <w:tcW w:w="777" w:type="dxa"/>
            <w:tcBorders>
              <w:top w:val="nil"/>
              <w:left w:val="nil"/>
              <w:bottom w:val="single" w:sz="8" w:space="0" w:color="auto"/>
              <w:right w:val="single" w:sz="8" w:space="0" w:color="auto"/>
            </w:tcBorders>
            <w:vAlign w:val="center"/>
          </w:tcPr>
          <w:p w14:paraId="4CE144CA" w14:textId="77777777"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100%</w:t>
            </w:r>
          </w:p>
        </w:tc>
        <w:tc>
          <w:tcPr>
            <w:tcW w:w="777" w:type="dxa"/>
            <w:tcBorders>
              <w:top w:val="nil"/>
              <w:left w:val="nil"/>
              <w:bottom w:val="single" w:sz="8" w:space="0" w:color="auto"/>
              <w:right w:val="single" w:sz="8" w:space="0" w:color="auto"/>
            </w:tcBorders>
            <w:vAlign w:val="center"/>
          </w:tcPr>
          <w:p w14:paraId="7918D4B8" w14:textId="77777777"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100%</w:t>
            </w:r>
          </w:p>
        </w:tc>
        <w:tc>
          <w:tcPr>
            <w:tcW w:w="777" w:type="dxa"/>
            <w:tcBorders>
              <w:top w:val="nil"/>
              <w:left w:val="nil"/>
              <w:bottom w:val="single" w:sz="8" w:space="0" w:color="auto"/>
              <w:right w:val="single" w:sz="8" w:space="0" w:color="auto"/>
            </w:tcBorders>
            <w:vAlign w:val="center"/>
          </w:tcPr>
          <w:p w14:paraId="48A580CB" w14:textId="77777777"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100%</w:t>
            </w:r>
          </w:p>
        </w:tc>
        <w:tc>
          <w:tcPr>
            <w:tcW w:w="777" w:type="dxa"/>
            <w:tcBorders>
              <w:top w:val="nil"/>
              <w:left w:val="nil"/>
              <w:bottom w:val="single" w:sz="8" w:space="0" w:color="auto"/>
              <w:right w:val="single" w:sz="8" w:space="0" w:color="auto"/>
            </w:tcBorders>
            <w:vAlign w:val="center"/>
          </w:tcPr>
          <w:p w14:paraId="104ABF98" w14:textId="77777777"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100%</w:t>
            </w:r>
          </w:p>
        </w:tc>
        <w:tc>
          <w:tcPr>
            <w:tcW w:w="777" w:type="dxa"/>
            <w:tcBorders>
              <w:top w:val="nil"/>
              <w:left w:val="nil"/>
              <w:bottom w:val="single" w:sz="8" w:space="0" w:color="auto"/>
              <w:right w:val="single" w:sz="8" w:space="0" w:color="auto"/>
            </w:tcBorders>
            <w:vAlign w:val="center"/>
          </w:tcPr>
          <w:p w14:paraId="1EA4E783" w14:textId="77777777"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100%</w:t>
            </w:r>
          </w:p>
        </w:tc>
        <w:tc>
          <w:tcPr>
            <w:tcW w:w="777" w:type="dxa"/>
            <w:tcBorders>
              <w:top w:val="nil"/>
              <w:left w:val="nil"/>
              <w:bottom w:val="single" w:sz="8" w:space="0" w:color="auto"/>
              <w:right w:val="single" w:sz="8" w:space="0" w:color="auto"/>
            </w:tcBorders>
            <w:vAlign w:val="center"/>
          </w:tcPr>
          <w:p w14:paraId="37525665" w14:textId="77777777"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100%</w:t>
            </w:r>
          </w:p>
        </w:tc>
        <w:tc>
          <w:tcPr>
            <w:tcW w:w="777" w:type="dxa"/>
            <w:tcBorders>
              <w:top w:val="nil"/>
              <w:left w:val="nil"/>
              <w:bottom w:val="single" w:sz="8" w:space="0" w:color="auto"/>
              <w:right w:val="single" w:sz="8" w:space="0" w:color="auto"/>
            </w:tcBorders>
            <w:vAlign w:val="center"/>
          </w:tcPr>
          <w:p w14:paraId="6CC9374E" w14:textId="77777777" w:rsidR="00E73D0A" w:rsidRPr="006160D0" w:rsidRDefault="00E73D0A" w:rsidP="00E73D0A">
            <w:pPr>
              <w:suppressLineNumbers w:val="0"/>
              <w:tabs>
                <w:tab w:val="clear" w:pos="907"/>
                <w:tab w:val="clear" w:pos="9185"/>
              </w:tabs>
              <w:suppressAutoHyphens w:val="0"/>
              <w:spacing w:line="240" w:lineRule="auto"/>
              <w:jc w:val="center"/>
              <w:rPr>
                <w:rFonts w:ascii="Arial" w:hAnsi="Arial" w:cs="Arial"/>
                <w:color w:val="000000"/>
                <w:sz w:val="18"/>
                <w:szCs w:val="21"/>
              </w:rPr>
            </w:pPr>
            <w:r w:rsidRPr="006160D0">
              <w:rPr>
                <w:rFonts w:ascii="Arial" w:hAnsi="Arial" w:cs="Arial"/>
                <w:color w:val="000000"/>
                <w:sz w:val="18"/>
                <w:szCs w:val="21"/>
              </w:rPr>
              <w:t>100%</w:t>
            </w:r>
          </w:p>
        </w:tc>
      </w:tr>
    </w:tbl>
    <w:p w14:paraId="108C94E1" w14:textId="77777777" w:rsidR="004E4621" w:rsidRDefault="004E4621" w:rsidP="002766B1"/>
    <w:p w14:paraId="1407B0AE" w14:textId="77777777" w:rsidR="004E4621" w:rsidRDefault="004E4621" w:rsidP="002766B1"/>
    <w:p w14:paraId="0611B8F0" w14:textId="77777777" w:rsidR="004E4621" w:rsidRDefault="004E4621" w:rsidP="002766B1"/>
    <w:p w14:paraId="6CCBE1E8" w14:textId="77777777" w:rsidR="00511D6B" w:rsidRDefault="00511D6B" w:rsidP="002766B1"/>
    <w:p w14:paraId="64A67305" w14:textId="77777777" w:rsidR="00511D6B" w:rsidRDefault="00511D6B" w:rsidP="002766B1"/>
    <w:p w14:paraId="60977CD4" w14:textId="77777777" w:rsidR="00511D6B" w:rsidRDefault="00511D6B" w:rsidP="002766B1"/>
    <w:p w14:paraId="2E9CAE14" w14:textId="77777777" w:rsidR="00511D6B" w:rsidRDefault="00511D6B" w:rsidP="002766B1"/>
    <w:p w14:paraId="4BCEFFAB" w14:textId="77777777" w:rsidR="00511D6B" w:rsidRDefault="00511D6B" w:rsidP="002766B1"/>
    <w:p w14:paraId="5F332B1F" w14:textId="77777777" w:rsidR="00511D6B" w:rsidRDefault="00511D6B" w:rsidP="002766B1"/>
    <w:p w14:paraId="490A2299" w14:textId="77777777" w:rsidR="00511D6B" w:rsidRDefault="00511D6B" w:rsidP="002766B1"/>
    <w:p w14:paraId="24DE155C" w14:textId="77777777" w:rsidR="00511D6B" w:rsidRDefault="00511D6B" w:rsidP="002766B1"/>
    <w:p w14:paraId="76E632BA" w14:textId="77777777" w:rsidR="00511D6B" w:rsidRDefault="00511D6B" w:rsidP="002766B1"/>
    <w:p w14:paraId="7834EE45" w14:textId="77777777" w:rsidR="00511D6B" w:rsidRDefault="00511D6B" w:rsidP="002766B1"/>
    <w:p w14:paraId="21A5D211" w14:textId="77777777" w:rsidR="00511D6B" w:rsidRDefault="00511D6B" w:rsidP="002766B1"/>
    <w:p w14:paraId="3AA701EC" w14:textId="77777777" w:rsidR="00511D6B" w:rsidRPr="00A16028" w:rsidRDefault="00511D6B" w:rsidP="00511D6B">
      <w:pPr>
        <w:pStyle w:val="Heading2"/>
        <w:numPr>
          <w:ilvl w:val="0"/>
          <w:numId w:val="0"/>
        </w:numPr>
        <w:rPr>
          <w:rFonts w:ascii="Arial" w:hAnsi="Arial" w:cs="Arial"/>
          <w:b/>
        </w:rPr>
      </w:pPr>
      <w:r w:rsidRPr="00A16028">
        <w:rPr>
          <w:rFonts w:ascii="Arial" w:hAnsi="Arial" w:cs="Arial"/>
          <w:b/>
        </w:rPr>
        <w:lastRenderedPageBreak/>
        <w:t xml:space="preserve">Appendix </w:t>
      </w:r>
      <w:r>
        <w:rPr>
          <w:rFonts w:ascii="Arial" w:hAnsi="Arial" w:cs="Arial"/>
          <w:b/>
        </w:rPr>
        <w:t>B</w:t>
      </w:r>
    </w:p>
    <w:p w14:paraId="71789989" w14:textId="4D3E0F0C" w:rsidR="00511D6B" w:rsidRPr="00511D6B" w:rsidRDefault="00511D6B" w:rsidP="00511D6B">
      <w:pPr>
        <w:pStyle w:val="Heading2"/>
        <w:numPr>
          <w:ilvl w:val="0"/>
          <w:numId w:val="0"/>
        </w:numPr>
        <w:spacing w:after="0"/>
        <w:rPr>
          <w:rFonts w:ascii="Arial" w:hAnsi="Arial" w:cs="Arial"/>
          <w:b/>
          <w:bCs/>
        </w:rPr>
      </w:pPr>
      <w:r w:rsidRPr="00A16028">
        <w:rPr>
          <w:rFonts w:ascii="Arial" w:hAnsi="Arial" w:cs="Arial"/>
          <w:b/>
          <w:bCs/>
        </w:rPr>
        <w:t xml:space="preserve">Defined Contribution </w:t>
      </w:r>
      <w:r>
        <w:rPr>
          <w:rFonts w:ascii="Arial" w:hAnsi="Arial" w:cs="Arial"/>
          <w:b/>
          <w:bCs/>
        </w:rPr>
        <w:t>Self-Select Fund Range</w:t>
      </w:r>
    </w:p>
    <w:tbl>
      <w:tblPr>
        <w:tblpPr w:leftFromText="180" w:rightFromText="180" w:vertAnchor="page" w:tblpY="2862"/>
        <w:tblW w:w="9771" w:type="dxa"/>
        <w:tblLayout w:type="fixed"/>
        <w:tblLook w:val="04A0" w:firstRow="1" w:lastRow="0" w:firstColumn="1" w:lastColumn="0" w:noHBand="0" w:noVBand="1"/>
      </w:tblPr>
      <w:tblGrid>
        <w:gridCol w:w="1408"/>
        <w:gridCol w:w="992"/>
        <w:gridCol w:w="1418"/>
        <w:gridCol w:w="3402"/>
        <w:gridCol w:w="2551"/>
      </w:tblGrid>
      <w:tr w:rsidR="00693671" w:rsidRPr="002D5B51" w14:paraId="4127BFC5" w14:textId="145963B9" w:rsidTr="00511D6B">
        <w:trPr>
          <w:trHeight w:val="973"/>
          <w:tblHeader/>
        </w:trPr>
        <w:tc>
          <w:tcPr>
            <w:tcW w:w="1408" w:type="dxa"/>
            <w:tcBorders>
              <w:top w:val="single" w:sz="8" w:space="0" w:color="auto"/>
              <w:left w:val="single" w:sz="8" w:space="0" w:color="auto"/>
              <w:bottom w:val="single" w:sz="8" w:space="0" w:color="auto"/>
              <w:right w:val="single" w:sz="8" w:space="0" w:color="auto"/>
            </w:tcBorders>
            <w:shd w:val="clear" w:color="auto" w:fill="8064A2" w:themeFill="accent4"/>
            <w:vAlign w:val="center"/>
            <w:hideMark/>
          </w:tcPr>
          <w:p w14:paraId="572D55C8" w14:textId="77777777" w:rsidR="00E42262" w:rsidRPr="002D5B51" w:rsidRDefault="00E42262" w:rsidP="004E4621">
            <w:pPr>
              <w:suppressLineNumbers w:val="0"/>
              <w:tabs>
                <w:tab w:val="clear" w:pos="907"/>
                <w:tab w:val="clear" w:pos="9185"/>
              </w:tabs>
              <w:suppressAutoHyphens w:val="0"/>
              <w:spacing w:line="240" w:lineRule="auto"/>
              <w:jc w:val="left"/>
              <w:rPr>
                <w:rFonts w:ascii="Arial" w:hAnsi="Arial" w:cs="Arial"/>
                <w:b/>
                <w:bCs/>
                <w:color w:val="FFFFFF"/>
                <w:sz w:val="22"/>
                <w:szCs w:val="24"/>
              </w:rPr>
            </w:pPr>
            <w:r w:rsidRPr="002D5B51">
              <w:rPr>
                <w:rFonts w:ascii="Arial" w:hAnsi="Arial" w:cs="Arial"/>
                <w:b/>
                <w:bCs/>
                <w:color w:val="FFFFFF" w:themeColor="background1"/>
                <w:sz w:val="22"/>
                <w:szCs w:val="24"/>
              </w:rPr>
              <w:t>Fund Name</w:t>
            </w:r>
          </w:p>
        </w:tc>
        <w:tc>
          <w:tcPr>
            <w:tcW w:w="992" w:type="dxa"/>
            <w:tcBorders>
              <w:top w:val="single" w:sz="8" w:space="0" w:color="auto"/>
              <w:left w:val="nil"/>
              <w:bottom w:val="single" w:sz="8" w:space="0" w:color="auto"/>
              <w:right w:val="single" w:sz="8" w:space="0" w:color="auto"/>
            </w:tcBorders>
            <w:shd w:val="clear" w:color="auto" w:fill="8064A2" w:themeFill="accent4"/>
            <w:vAlign w:val="center"/>
            <w:hideMark/>
          </w:tcPr>
          <w:p w14:paraId="0140B333" w14:textId="7ED8C2EB" w:rsidR="00E42262" w:rsidRPr="002D5B51" w:rsidRDefault="005731AA" w:rsidP="004E4621">
            <w:pPr>
              <w:suppressLineNumbers w:val="0"/>
              <w:tabs>
                <w:tab w:val="clear" w:pos="907"/>
                <w:tab w:val="clear" w:pos="9185"/>
              </w:tabs>
              <w:suppressAutoHyphens w:val="0"/>
              <w:spacing w:line="240" w:lineRule="auto"/>
              <w:jc w:val="center"/>
              <w:rPr>
                <w:rFonts w:ascii="Arial" w:hAnsi="Arial" w:cs="Arial"/>
                <w:b/>
                <w:bCs/>
                <w:color w:val="FFFFFF"/>
                <w:sz w:val="22"/>
                <w:szCs w:val="24"/>
              </w:rPr>
            </w:pPr>
            <w:r>
              <w:rPr>
                <w:rFonts w:ascii="Arial" w:hAnsi="Arial" w:cs="Arial"/>
                <w:b/>
                <w:bCs/>
                <w:color w:val="FFFFFF" w:themeColor="background1"/>
                <w:sz w:val="22"/>
                <w:szCs w:val="24"/>
              </w:rPr>
              <w:t>Fund TER</w:t>
            </w:r>
            <w:r w:rsidR="00D2021A">
              <w:rPr>
                <w:rFonts w:ascii="Arial" w:hAnsi="Arial" w:cs="Arial"/>
                <w:b/>
                <w:bCs/>
                <w:color w:val="FFFFFF" w:themeColor="background1"/>
                <w:sz w:val="22"/>
                <w:szCs w:val="24"/>
              </w:rPr>
              <w:t xml:space="preserve"> %</w:t>
            </w:r>
          </w:p>
        </w:tc>
        <w:tc>
          <w:tcPr>
            <w:tcW w:w="1418" w:type="dxa"/>
            <w:tcBorders>
              <w:top w:val="single" w:sz="8" w:space="0" w:color="auto"/>
              <w:left w:val="nil"/>
              <w:bottom w:val="single" w:sz="8" w:space="0" w:color="auto"/>
              <w:right w:val="single" w:sz="8" w:space="0" w:color="auto"/>
            </w:tcBorders>
            <w:shd w:val="clear" w:color="auto" w:fill="8064A2" w:themeFill="accent4"/>
            <w:vAlign w:val="center"/>
            <w:hideMark/>
          </w:tcPr>
          <w:p w14:paraId="2A276154" w14:textId="77777777" w:rsidR="00E42262" w:rsidRPr="002D5B51" w:rsidRDefault="00E42262" w:rsidP="004E4621">
            <w:pPr>
              <w:suppressLineNumbers w:val="0"/>
              <w:tabs>
                <w:tab w:val="clear" w:pos="907"/>
                <w:tab w:val="clear" w:pos="9185"/>
              </w:tabs>
              <w:suppressAutoHyphens w:val="0"/>
              <w:spacing w:line="240" w:lineRule="auto"/>
              <w:jc w:val="center"/>
              <w:rPr>
                <w:rFonts w:ascii="Arial" w:hAnsi="Arial" w:cs="Arial"/>
                <w:b/>
                <w:bCs/>
                <w:color w:val="FFFFFF"/>
                <w:sz w:val="22"/>
                <w:szCs w:val="24"/>
              </w:rPr>
            </w:pPr>
            <w:r>
              <w:rPr>
                <w:rFonts w:ascii="Arial" w:hAnsi="Arial" w:cs="Arial"/>
                <w:b/>
                <w:bCs/>
                <w:color w:val="FFFFFF" w:themeColor="background1"/>
                <w:sz w:val="22"/>
                <w:szCs w:val="24"/>
              </w:rPr>
              <w:t>Investment Approach</w:t>
            </w:r>
          </w:p>
        </w:tc>
        <w:tc>
          <w:tcPr>
            <w:tcW w:w="3402" w:type="dxa"/>
            <w:tcBorders>
              <w:top w:val="single" w:sz="8" w:space="0" w:color="auto"/>
              <w:left w:val="nil"/>
              <w:bottom w:val="single" w:sz="8" w:space="0" w:color="auto"/>
              <w:right w:val="single" w:sz="8" w:space="0" w:color="auto"/>
            </w:tcBorders>
            <w:shd w:val="clear" w:color="auto" w:fill="8064A2" w:themeFill="accent4"/>
            <w:vAlign w:val="center"/>
            <w:hideMark/>
          </w:tcPr>
          <w:p w14:paraId="43CD9707" w14:textId="304580A1" w:rsidR="00E42262" w:rsidRPr="002D5B51" w:rsidRDefault="00E42262" w:rsidP="004E4621">
            <w:pPr>
              <w:suppressLineNumbers w:val="0"/>
              <w:tabs>
                <w:tab w:val="clear" w:pos="907"/>
                <w:tab w:val="clear" w:pos="9185"/>
              </w:tabs>
              <w:suppressAutoHyphens w:val="0"/>
              <w:spacing w:line="240" w:lineRule="auto"/>
              <w:jc w:val="center"/>
              <w:rPr>
                <w:rFonts w:ascii="Arial" w:hAnsi="Arial" w:cs="Arial"/>
                <w:b/>
                <w:bCs/>
                <w:color w:val="FFFFFF"/>
                <w:sz w:val="22"/>
                <w:szCs w:val="24"/>
              </w:rPr>
            </w:pPr>
            <w:r>
              <w:rPr>
                <w:rFonts w:ascii="Arial" w:hAnsi="Arial" w:cs="Arial"/>
                <w:b/>
                <w:bCs/>
                <w:color w:val="FFFFFF" w:themeColor="background1"/>
                <w:sz w:val="22"/>
                <w:szCs w:val="24"/>
              </w:rPr>
              <w:t>Fund Aims</w:t>
            </w:r>
          </w:p>
        </w:tc>
        <w:tc>
          <w:tcPr>
            <w:tcW w:w="2551" w:type="dxa"/>
            <w:tcBorders>
              <w:top w:val="single" w:sz="8" w:space="0" w:color="auto"/>
              <w:left w:val="nil"/>
              <w:bottom w:val="single" w:sz="8" w:space="0" w:color="auto"/>
              <w:right w:val="single" w:sz="8" w:space="0" w:color="auto"/>
            </w:tcBorders>
            <w:shd w:val="clear" w:color="auto" w:fill="8064A2" w:themeFill="accent4"/>
            <w:vAlign w:val="center"/>
          </w:tcPr>
          <w:p w14:paraId="44536781" w14:textId="1EDF36AE" w:rsidR="00E42262" w:rsidRDefault="00693671" w:rsidP="0065296C">
            <w:pPr>
              <w:suppressLineNumbers w:val="0"/>
              <w:tabs>
                <w:tab w:val="clear" w:pos="907"/>
                <w:tab w:val="clear" w:pos="9185"/>
              </w:tabs>
              <w:suppressAutoHyphens w:val="0"/>
              <w:spacing w:line="240" w:lineRule="auto"/>
              <w:jc w:val="center"/>
              <w:rPr>
                <w:rFonts w:ascii="Arial" w:hAnsi="Arial" w:cs="Arial"/>
                <w:b/>
                <w:bCs/>
                <w:color w:val="FFFFFF" w:themeColor="background1"/>
                <w:sz w:val="22"/>
                <w:szCs w:val="24"/>
              </w:rPr>
            </w:pPr>
            <w:r>
              <w:rPr>
                <w:rFonts w:ascii="Arial" w:hAnsi="Arial" w:cs="Arial"/>
                <w:b/>
                <w:bCs/>
                <w:color w:val="FFFFFF" w:themeColor="background1"/>
                <w:sz w:val="22"/>
                <w:szCs w:val="24"/>
              </w:rPr>
              <w:t>Benchmark</w:t>
            </w:r>
          </w:p>
        </w:tc>
      </w:tr>
      <w:tr w:rsidR="003A372E" w:rsidRPr="002D5B51" w14:paraId="373BBDA2" w14:textId="77777777" w:rsidTr="00511D6B">
        <w:trPr>
          <w:trHeight w:val="1002"/>
        </w:trPr>
        <w:tc>
          <w:tcPr>
            <w:tcW w:w="1408" w:type="dxa"/>
            <w:tcBorders>
              <w:top w:val="nil"/>
              <w:left w:val="single" w:sz="8" w:space="0" w:color="auto"/>
              <w:bottom w:val="single" w:sz="8" w:space="0" w:color="auto"/>
              <w:right w:val="single" w:sz="8" w:space="0" w:color="auto"/>
            </w:tcBorders>
            <w:shd w:val="clear" w:color="auto" w:fill="auto"/>
            <w:noWrap/>
          </w:tcPr>
          <w:p w14:paraId="09BD5C69" w14:textId="693E693A" w:rsidR="003A372E" w:rsidRDefault="003A372E" w:rsidP="0065296C">
            <w:pPr>
              <w:tabs>
                <w:tab w:val="clear" w:pos="907"/>
                <w:tab w:val="clear" w:pos="9185"/>
                <w:tab w:val="left" w:pos="2356"/>
              </w:tabs>
              <w:rPr>
                <w:rFonts w:ascii="Arial" w:hAnsi="Arial" w:cs="Arial"/>
                <w:color w:val="000000"/>
                <w:sz w:val="20"/>
              </w:rPr>
            </w:pPr>
            <w:r>
              <w:rPr>
                <w:rFonts w:ascii="Arial" w:hAnsi="Arial" w:cs="Arial"/>
                <w:color w:val="000000"/>
                <w:sz w:val="20"/>
              </w:rPr>
              <w:t>Dell Balanced Growth</w:t>
            </w:r>
          </w:p>
        </w:tc>
        <w:tc>
          <w:tcPr>
            <w:tcW w:w="992" w:type="dxa"/>
            <w:tcBorders>
              <w:top w:val="nil"/>
              <w:left w:val="nil"/>
              <w:bottom w:val="single" w:sz="8" w:space="0" w:color="auto"/>
              <w:right w:val="single" w:sz="8" w:space="0" w:color="auto"/>
            </w:tcBorders>
            <w:shd w:val="clear" w:color="auto" w:fill="auto"/>
            <w:noWrap/>
          </w:tcPr>
          <w:p w14:paraId="408EE4FD" w14:textId="19F6A4C3" w:rsidR="003A372E" w:rsidRDefault="005731AA" w:rsidP="004E4621">
            <w:pPr>
              <w:suppressLineNumbers w:val="0"/>
              <w:tabs>
                <w:tab w:val="clear" w:pos="907"/>
                <w:tab w:val="clear" w:pos="9185"/>
              </w:tabs>
              <w:suppressAutoHyphens w:val="0"/>
              <w:spacing w:line="240" w:lineRule="auto"/>
              <w:jc w:val="center"/>
              <w:rPr>
                <w:rFonts w:ascii="Arial" w:hAnsi="Arial" w:cs="Arial"/>
                <w:color w:val="000000"/>
                <w:sz w:val="20"/>
              </w:rPr>
            </w:pPr>
            <w:r>
              <w:rPr>
                <w:rFonts w:ascii="Arial" w:hAnsi="Arial" w:cs="Arial"/>
                <w:color w:val="000000"/>
                <w:sz w:val="20"/>
              </w:rPr>
              <w:t>0.72</w:t>
            </w:r>
          </w:p>
        </w:tc>
        <w:tc>
          <w:tcPr>
            <w:tcW w:w="1418" w:type="dxa"/>
            <w:tcBorders>
              <w:top w:val="nil"/>
              <w:left w:val="nil"/>
              <w:bottom w:val="single" w:sz="8" w:space="0" w:color="auto"/>
              <w:right w:val="single" w:sz="8" w:space="0" w:color="auto"/>
            </w:tcBorders>
            <w:shd w:val="clear" w:color="auto" w:fill="auto"/>
          </w:tcPr>
          <w:p w14:paraId="44F38445" w14:textId="790084C9" w:rsidR="003A372E" w:rsidRDefault="005731AA" w:rsidP="004E4621">
            <w:pPr>
              <w:spacing w:line="240" w:lineRule="auto"/>
              <w:jc w:val="left"/>
              <w:rPr>
                <w:rFonts w:ascii="Arial" w:hAnsi="Arial" w:cs="Arial"/>
                <w:sz w:val="20"/>
              </w:rPr>
            </w:pPr>
            <w:r>
              <w:rPr>
                <w:rFonts w:ascii="Arial" w:hAnsi="Arial" w:cs="Arial"/>
                <w:sz w:val="20"/>
              </w:rPr>
              <w:t>Active / Passive</w:t>
            </w:r>
          </w:p>
        </w:tc>
        <w:tc>
          <w:tcPr>
            <w:tcW w:w="3402" w:type="dxa"/>
            <w:tcBorders>
              <w:top w:val="nil"/>
              <w:left w:val="nil"/>
              <w:bottom w:val="single" w:sz="8" w:space="0" w:color="auto"/>
              <w:right w:val="single" w:sz="8" w:space="0" w:color="auto"/>
            </w:tcBorders>
            <w:shd w:val="clear" w:color="auto" w:fill="auto"/>
          </w:tcPr>
          <w:p w14:paraId="4D26140C" w14:textId="2A45BEB1" w:rsidR="003A372E" w:rsidRDefault="00511D6B" w:rsidP="00D2021A">
            <w:pPr>
              <w:suppressLineNumbers w:val="0"/>
              <w:tabs>
                <w:tab w:val="clear" w:pos="907"/>
                <w:tab w:val="clear" w:pos="9185"/>
              </w:tabs>
              <w:suppressAutoHyphens w:val="0"/>
              <w:spacing w:after="120" w:line="240" w:lineRule="auto"/>
              <w:jc w:val="left"/>
              <w:rPr>
                <w:rFonts w:ascii="Arial" w:hAnsi="Arial" w:cs="Arial"/>
                <w:color w:val="000000"/>
                <w:sz w:val="20"/>
              </w:rPr>
            </w:pPr>
            <w:r>
              <w:rPr>
                <w:rFonts w:ascii="Arial" w:hAnsi="Arial" w:cs="Arial"/>
                <w:color w:val="000000"/>
                <w:sz w:val="20"/>
              </w:rPr>
              <w:t xml:space="preserve">The fund aims to achieve long term capital growth by investing in a </w:t>
            </w:r>
            <w:r w:rsidRPr="00511D6B">
              <w:rPr>
                <w:rFonts w:ascii="Arial" w:hAnsi="Arial" w:cs="Arial"/>
                <w:sz w:val="20"/>
              </w:rPr>
              <w:t>well-diversified range of underlying investments both in the UK and overseas, including equities, bonds, real estate, commodities, hedge funds, high yield debt and private equity.</w:t>
            </w:r>
          </w:p>
        </w:tc>
        <w:tc>
          <w:tcPr>
            <w:tcW w:w="2551" w:type="dxa"/>
            <w:tcBorders>
              <w:top w:val="nil"/>
              <w:left w:val="nil"/>
              <w:bottom w:val="single" w:sz="8" w:space="0" w:color="auto"/>
              <w:right w:val="single" w:sz="8" w:space="0" w:color="auto"/>
            </w:tcBorders>
          </w:tcPr>
          <w:p w14:paraId="48DBE70D" w14:textId="1A75181B" w:rsidR="003A372E" w:rsidRDefault="005731AA" w:rsidP="004E4621">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color w:val="000000"/>
                <w:sz w:val="20"/>
              </w:rPr>
              <w:t>Composite benchmark comprising the benchmark for each underlying fund weighted by each fund</w:t>
            </w:r>
            <w:r w:rsidR="00511D6B">
              <w:rPr>
                <w:rFonts w:ascii="Arial" w:hAnsi="Arial" w:cs="Arial"/>
                <w:color w:val="000000"/>
                <w:sz w:val="20"/>
              </w:rPr>
              <w:t>’</w:t>
            </w:r>
            <w:r>
              <w:rPr>
                <w:rFonts w:ascii="Arial" w:hAnsi="Arial" w:cs="Arial"/>
                <w:color w:val="000000"/>
                <w:sz w:val="20"/>
              </w:rPr>
              <w:t>s allocation</w:t>
            </w:r>
          </w:p>
        </w:tc>
      </w:tr>
      <w:tr w:rsidR="00E42262" w:rsidRPr="002D5B51" w14:paraId="1BE2EA90" w14:textId="4EB69BA6" w:rsidTr="00511D6B">
        <w:trPr>
          <w:trHeight w:val="1002"/>
        </w:trPr>
        <w:tc>
          <w:tcPr>
            <w:tcW w:w="1408" w:type="dxa"/>
            <w:tcBorders>
              <w:top w:val="nil"/>
              <w:left w:val="single" w:sz="8" w:space="0" w:color="auto"/>
              <w:bottom w:val="single" w:sz="8" w:space="0" w:color="auto"/>
              <w:right w:val="single" w:sz="8" w:space="0" w:color="auto"/>
            </w:tcBorders>
            <w:shd w:val="clear" w:color="auto" w:fill="auto"/>
            <w:noWrap/>
          </w:tcPr>
          <w:p w14:paraId="282CBBE9" w14:textId="3E809190" w:rsidR="00E42262" w:rsidRPr="0065296C" w:rsidRDefault="00E42262" w:rsidP="0065296C">
            <w:pPr>
              <w:tabs>
                <w:tab w:val="clear" w:pos="907"/>
                <w:tab w:val="clear" w:pos="9185"/>
                <w:tab w:val="left" w:pos="2356"/>
              </w:tabs>
              <w:rPr>
                <w:rFonts w:ascii="Arial" w:hAnsi="Arial" w:cs="Arial"/>
                <w:sz w:val="20"/>
              </w:rPr>
            </w:pPr>
            <w:r>
              <w:rPr>
                <w:rFonts w:ascii="Arial" w:hAnsi="Arial" w:cs="Arial"/>
                <w:color w:val="000000"/>
                <w:sz w:val="20"/>
              </w:rPr>
              <w:t>BNY Mellon Long Term Global Equity</w:t>
            </w:r>
          </w:p>
        </w:tc>
        <w:tc>
          <w:tcPr>
            <w:tcW w:w="992" w:type="dxa"/>
            <w:tcBorders>
              <w:top w:val="nil"/>
              <w:left w:val="nil"/>
              <w:bottom w:val="single" w:sz="8" w:space="0" w:color="auto"/>
              <w:right w:val="single" w:sz="8" w:space="0" w:color="auto"/>
            </w:tcBorders>
            <w:shd w:val="clear" w:color="auto" w:fill="auto"/>
            <w:noWrap/>
          </w:tcPr>
          <w:p w14:paraId="4703683C" w14:textId="10899D23" w:rsidR="00E42262" w:rsidRPr="002D5B51" w:rsidRDefault="00E42262" w:rsidP="004E4621">
            <w:pPr>
              <w:suppressLineNumbers w:val="0"/>
              <w:tabs>
                <w:tab w:val="clear" w:pos="907"/>
                <w:tab w:val="clear" w:pos="9185"/>
              </w:tabs>
              <w:suppressAutoHyphens w:val="0"/>
              <w:spacing w:line="240" w:lineRule="auto"/>
              <w:jc w:val="center"/>
              <w:rPr>
                <w:rFonts w:ascii="Arial" w:hAnsi="Arial" w:cs="Arial"/>
                <w:color w:val="000000"/>
                <w:sz w:val="20"/>
              </w:rPr>
            </w:pPr>
            <w:r>
              <w:rPr>
                <w:rFonts w:ascii="Arial" w:hAnsi="Arial" w:cs="Arial"/>
                <w:color w:val="000000"/>
                <w:sz w:val="20"/>
              </w:rPr>
              <w:t>0.97</w:t>
            </w:r>
          </w:p>
        </w:tc>
        <w:tc>
          <w:tcPr>
            <w:tcW w:w="1418" w:type="dxa"/>
            <w:tcBorders>
              <w:top w:val="nil"/>
              <w:left w:val="nil"/>
              <w:bottom w:val="single" w:sz="8" w:space="0" w:color="auto"/>
              <w:right w:val="single" w:sz="8" w:space="0" w:color="auto"/>
            </w:tcBorders>
            <w:shd w:val="clear" w:color="auto" w:fill="auto"/>
          </w:tcPr>
          <w:p w14:paraId="68C2A135" w14:textId="51E42D09" w:rsidR="00E42262" w:rsidRPr="002D5B51" w:rsidRDefault="00E42262" w:rsidP="004E4621">
            <w:pPr>
              <w:spacing w:line="240" w:lineRule="auto"/>
              <w:jc w:val="left"/>
              <w:rPr>
                <w:rFonts w:ascii="Arial" w:hAnsi="Arial" w:cs="Arial"/>
                <w:sz w:val="20"/>
              </w:rPr>
            </w:pPr>
            <w:r>
              <w:rPr>
                <w:rFonts w:ascii="Arial" w:hAnsi="Arial" w:cs="Arial"/>
                <w:sz w:val="20"/>
              </w:rPr>
              <w:t>Active</w:t>
            </w:r>
          </w:p>
        </w:tc>
        <w:tc>
          <w:tcPr>
            <w:tcW w:w="3402" w:type="dxa"/>
            <w:tcBorders>
              <w:top w:val="nil"/>
              <w:left w:val="nil"/>
              <w:bottom w:val="single" w:sz="8" w:space="0" w:color="auto"/>
              <w:right w:val="single" w:sz="8" w:space="0" w:color="auto"/>
            </w:tcBorders>
            <w:shd w:val="clear" w:color="auto" w:fill="auto"/>
          </w:tcPr>
          <w:p w14:paraId="0DAF5F2D" w14:textId="2643B45E" w:rsidR="00E42262" w:rsidRPr="002D5B51" w:rsidRDefault="00E42262" w:rsidP="00D2021A">
            <w:pPr>
              <w:suppressLineNumbers w:val="0"/>
              <w:tabs>
                <w:tab w:val="clear" w:pos="907"/>
                <w:tab w:val="clear" w:pos="9185"/>
              </w:tabs>
              <w:suppressAutoHyphens w:val="0"/>
              <w:spacing w:after="120" w:line="240" w:lineRule="auto"/>
              <w:jc w:val="left"/>
              <w:rPr>
                <w:rFonts w:ascii="Arial" w:hAnsi="Arial" w:cs="Arial"/>
                <w:color w:val="000000"/>
                <w:sz w:val="20"/>
              </w:rPr>
            </w:pPr>
            <w:r>
              <w:rPr>
                <w:rFonts w:ascii="Arial" w:hAnsi="Arial" w:cs="Arial"/>
                <w:color w:val="000000"/>
                <w:sz w:val="20"/>
              </w:rPr>
              <w:t>The fund aims to achieve long-term capital growth by investing in shares and similar investments of companies listed or located throughout the world.</w:t>
            </w:r>
          </w:p>
        </w:tc>
        <w:tc>
          <w:tcPr>
            <w:tcW w:w="2551" w:type="dxa"/>
            <w:tcBorders>
              <w:top w:val="nil"/>
              <w:left w:val="nil"/>
              <w:bottom w:val="single" w:sz="8" w:space="0" w:color="auto"/>
              <w:right w:val="single" w:sz="8" w:space="0" w:color="auto"/>
            </w:tcBorders>
          </w:tcPr>
          <w:p w14:paraId="4E7E1CB3" w14:textId="63FFD917" w:rsidR="00E42262" w:rsidRDefault="00693671" w:rsidP="004E4621">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color w:val="000000"/>
                <w:sz w:val="20"/>
              </w:rPr>
              <w:t>MSCI World Index</w:t>
            </w:r>
          </w:p>
        </w:tc>
      </w:tr>
      <w:tr w:rsidR="00E42262" w:rsidRPr="002D5B51" w14:paraId="15F3C22A" w14:textId="571FE05C" w:rsidTr="00511D6B">
        <w:trPr>
          <w:trHeight w:val="1412"/>
        </w:trPr>
        <w:tc>
          <w:tcPr>
            <w:tcW w:w="1408" w:type="dxa"/>
            <w:tcBorders>
              <w:top w:val="nil"/>
              <w:left w:val="single" w:sz="8" w:space="0" w:color="auto"/>
              <w:bottom w:val="single" w:sz="4" w:space="0" w:color="auto"/>
              <w:right w:val="single" w:sz="8" w:space="0" w:color="auto"/>
            </w:tcBorders>
            <w:shd w:val="clear" w:color="auto" w:fill="auto"/>
            <w:noWrap/>
          </w:tcPr>
          <w:p w14:paraId="6B4D460A" w14:textId="6318B058" w:rsidR="00E42262" w:rsidRPr="00830B7A" w:rsidRDefault="00E42262" w:rsidP="004E4621">
            <w:pPr>
              <w:tabs>
                <w:tab w:val="clear" w:pos="907"/>
                <w:tab w:val="clear" w:pos="9185"/>
                <w:tab w:val="left" w:pos="2113"/>
              </w:tabs>
              <w:rPr>
                <w:rFonts w:ascii="Arial" w:hAnsi="Arial" w:cs="Arial"/>
                <w:sz w:val="20"/>
              </w:rPr>
            </w:pPr>
            <w:r>
              <w:rPr>
                <w:rFonts w:ascii="Arial" w:hAnsi="Arial" w:cs="Arial"/>
                <w:color w:val="000000"/>
                <w:sz w:val="20"/>
              </w:rPr>
              <w:t>L&amp;G Global Equity 50:50 Index</w:t>
            </w:r>
          </w:p>
        </w:tc>
        <w:tc>
          <w:tcPr>
            <w:tcW w:w="992" w:type="dxa"/>
            <w:tcBorders>
              <w:top w:val="nil"/>
              <w:left w:val="nil"/>
              <w:bottom w:val="single" w:sz="4" w:space="0" w:color="auto"/>
              <w:right w:val="single" w:sz="8" w:space="0" w:color="auto"/>
            </w:tcBorders>
            <w:shd w:val="clear" w:color="auto" w:fill="auto"/>
            <w:noWrap/>
          </w:tcPr>
          <w:p w14:paraId="0E84E286" w14:textId="0A5DF546" w:rsidR="00E42262" w:rsidRPr="002D5B51" w:rsidRDefault="00E42262" w:rsidP="004E4621">
            <w:pPr>
              <w:suppressLineNumbers w:val="0"/>
              <w:tabs>
                <w:tab w:val="clear" w:pos="907"/>
                <w:tab w:val="clear" w:pos="9185"/>
              </w:tabs>
              <w:suppressAutoHyphens w:val="0"/>
              <w:spacing w:line="240" w:lineRule="auto"/>
              <w:jc w:val="center"/>
              <w:rPr>
                <w:rFonts w:ascii="Arial" w:hAnsi="Arial" w:cs="Arial"/>
                <w:color w:val="000000"/>
                <w:sz w:val="20"/>
              </w:rPr>
            </w:pPr>
            <w:r>
              <w:rPr>
                <w:rFonts w:ascii="Arial" w:hAnsi="Arial" w:cs="Arial"/>
                <w:color w:val="000000"/>
                <w:sz w:val="20"/>
              </w:rPr>
              <w:t>0.18</w:t>
            </w:r>
          </w:p>
        </w:tc>
        <w:tc>
          <w:tcPr>
            <w:tcW w:w="1418" w:type="dxa"/>
            <w:tcBorders>
              <w:top w:val="nil"/>
              <w:left w:val="nil"/>
              <w:bottom w:val="single" w:sz="4" w:space="0" w:color="auto"/>
              <w:right w:val="single" w:sz="8" w:space="0" w:color="auto"/>
            </w:tcBorders>
            <w:shd w:val="clear" w:color="auto" w:fill="auto"/>
          </w:tcPr>
          <w:p w14:paraId="1AF2EFF2" w14:textId="67955A96" w:rsidR="00E42262" w:rsidRPr="002D5B51" w:rsidRDefault="00E42262" w:rsidP="004E4621">
            <w:pPr>
              <w:tabs>
                <w:tab w:val="left" w:pos="6300"/>
              </w:tabs>
              <w:spacing w:line="240" w:lineRule="auto"/>
              <w:ind w:right="58"/>
              <w:jc w:val="left"/>
              <w:rPr>
                <w:rFonts w:ascii="Arial" w:hAnsi="Arial" w:cs="Arial"/>
                <w:sz w:val="20"/>
              </w:rPr>
            </w:pPr>
            <w:r>
              <w:rPr>
                <w:rFonts w:ascii="Arial" w:hAnsi="Arial" w:cs="Arial"/>
                <w:sz w:val="20"/>
              </w:rPr>
              <w:t>Passive</w:t>
            </w:r>
          </w:p>
        </w:tc>
        <w:tc>
          <w:tcPr>
            <w:tcW w:w="3402" w:type="dxa"/>
            <w:tcBorders>
              <w:top w:val="nil"/>
              <w:left w:val="nil"/>
              <w:bottom w:val="single" w:sz="4" w:space="0" w:color="auto"/>
              <w:right w:val="single" w:sz="8" w:space="0" w:color="auto"/>
            </w:tcBorders>
            <w:shd w:val="clear" w:color="auto" w:fill="auto"/>
          </w:tcPr>
          <w:p w14:paraId="74EBD267" w14:textId="50AA7B54" w:rsidR="00E42262" w:rsidRPr="002D5B51" w:rsidRDefault="00E42262" w:rsidP="00D2021A">
            <w:pPr>
              <w:suppressLineNumbers w:val="0"/>
              <w:tabs>
                <w:tab w:val="clear" w:pos="907"/>
                <w:tab w:val="clear" w:pos="9185"/>
              </w:tabs>
              <w:suppressAutoHyphens w:val="0"/>
              <w:spacing w:after="120" w:line="240" w:lineRule="auto"/>
              <w:jc w:val="left"/>
              <w:rPr>
                <w:rFonts w:ascii="Arial" w:hAnsi="Arial" w:cs="Arial"/>
                <w:color w:val="000000"/>
                <w:sz w:val="20"/>
              </w:rPr>
            </w:pPr>
            <w:r>
              <w:rPr>
                <w:rFonts w:ascii="Arial" w:hAnsi="Arial" w:cs="Arial"/>
                <w:sz w:val="20"/>
              </w:rPr>
              <w:t>The fund aims to capture the total returns of the UK and overseas equity markets. The fund’s asset allocation is fixed 50% UK, 17.5% North America, 17.5% Europe (ex-UK), 8.75% Japan and 6.25% Asia Pacific (ex-Japan).</w:t>
            </w:r>
          </w:p>
        </w:tc>
        <w:tc>
          <w:tcPr>
            <w:tcW w:w="2551" w:type="dxa"/>
            <w:tcBorders>
              <w:top w:val="nil"/>
              <w:left w:val="nil"/>
              <w:bottom w:val="single" w:sz="4" w:space="0" w:color="auto"/>
              <w:right w:val="single" w:sz="8" w:space="0" w:color="auto"/>
            </w:tcBorders>
          </w:tcPr>
          <w:p w14:paraId="7CEF0162" w14:textId="1D8B67B0" w:rsidR="00E42262" w:rsidRDefault="00693671" w:rsidP="004E4621">
            <w:pPr>
              <w:suppressLineNumbers w:val="0"/>
              <w:tabs>
                <w:tab w:val="clear" w:pos="907"/>
                <w:tab w:val="clear" w:pos="9185"/>
              </w:tabs>
              <w:suppressAutoHyphens w:val="0"/>
              <w:spacing w:line="240" w:lineRule="auto"/>
              <w:jc w:val="left"/>
              <w:rPr>
                <w:rFonts w:ascii="Arial" w:hAnsi="Arial" w:cs="Arial"/>
                <w:sz w:val="20"/>
              </w:rPr>
            </w:pPr>
            <w:r>
              <w:rPr>
                <w:rFonts w:ascii="Arial" w:hAnsi="Arial" w:cs="Arial"/>
                <w:color w:val="000000"/>
                <w:sz w:val="20"/>
              </w:rPr>
              <w:t>Composite benchmark based on 50% FTSE All-Share Index and 50% Composite World Index (ex UK)</w:t>
            </w:r>
          </w:p>
        </w:tc>
      </w:tr>
      <w:tr w:rsidR="00E42262" w:rsidRPr="002D5B51" w14:paraId="798C33E7" w14:textId="7815163E" w:rsidTr="00511D6B">
        <w:trPr>
          <w:trHeight w:val="1258"/>
        </w:trPr>
        <w:tc>
          <w:tcPr>
            <w:tcW w:w="1408" w:type="dxa"/>
            <w:tcBorders>
              <w:top w:val="single" w:sz="4" w:space="0" w:color="auto"/>
              <w:left w:val="single" w:sz="8" w:space="0" w:color="auto"/>
              <w:bottom w:val="single" w:sz="8" w:space="0" w:color="auto"/>
              <w:right w:val="single" w:sz="8" w:space="0" w:color="auto"/>
            </w:tcBorders>
            <w:shd w:val="clear" w:color="auto" w:fill="auto"/>
            <w:noWrap/>
            <w:hideMark/>
          </w:tcPr>
          <w:p w14:paraId="436C8BC4" w14:textId="53C763BB" w:rsidR="00E42262" w:rsidRPr="002D5B51" w:rsidRDefault="00E42262" w:rsidP="004E4621">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color w:val="000000"/>
                <w:sz w:val="20"/>
              </w:rPr>
              <w:t>Invesco High Income</w:t>
            </w:r>
          </w:p>
        </w:tc>
        <w:tc>
          <w:tcPr>
            <w:tcW w:w="992" w:type="dxa"/>
            <w:tcBorders>
              <w:top w:val="single" w:sz="4" w:space="0" w:color="auto"/>
              <w:left w:val="nil"/>
              <w:bottom w:val="single" w:sz="8" w:space="0" w:color="auto"/>
              <w:right w:val="single" w:sz="8" w:space="0" w:color="auto"/>
            </w:tcBorders>
            <w:shd w:val="clear" w:color="auto" w:fill="auto"/>
            <w:noWrap/>
          </w:tcPr>
          <w:p w14:paraId="363AB51F" w14:textId="519742B0" w:rsidR="00E42262" w:rsidRPr="002D5B51" w:rsidRDefault="00E42262" w:rsidP="004E4621">
            <w:pPr>
              <w:suppressLineNumbers w:val="0"/>
              <w:tabs>
                <w:tab w:val="clear" w:pos="907"/>
                <w:tab w:val="clear" w:pos="9185"/>
              </w:tabs>
              <w:suppressAutoHyphens w:val="0"/>
              <w:spacing w:line="240" w:lineRule="auto"/>
              <w:jc w:val="center"/>
              <w:rPr>
                <w:rFonts w:ascii="Arial" w:hAnsi="Arial" w:cs="Arial"/>
                <w:color w:val="000000"/>
                <w:sz w:val="20"/>
              </w:rPr>
            </w:pPr>
            <w:r>
              <w:rPr>
                <w:rFonts w:ascii="Arial" w:hAnsi="Arial" w:cs="Arial"/>
                <w:color w:val="000000"/>
                <w:sz w:val="20"/>
              </w:rPr>
              <w:t>1.02</w:t>
            </w:r>
          </w:p>
        </w:tc>
        <w:tc>
          <w:tcPr>
            <w:tcW w:w="1418" w:type="dxa"/>
            <w:tcBorders>
              <w:top w:val="single" w:sz="4" w:space="0" w:color="auto"/>
              <w:left w:val="nil"/>
              <w:bottom w:val="single" w:sz="8" w:space="0" w:color="auto"/>
              <w:right w:val="single" w:sz="8" w:space="0" w:color="auto"/>
            </w:tcBorders>
            <w:shd w:val="clear" w:color="auto" w:fill="auto"/>
            <w:hideMark/>
          </w:tcPr>
          <w:p w14:paraId="054334B7" w14:textId="77777777" w:rsidR="00E42262" w:rsidRPr="002D5B51" w:rsidRDefault="00E42262" w:rsidP="004E4621">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color w:val="000000"/>
                <w:sz w:val="20"/>
              </w:rPr>
              <w:t>Active</w:t>
            </w:r>
          </w:p>
        </w:tc>
        <w:tc>
          <w:tcPr>
            <w:tcW w:w="3402" w:type="dxa"/>
            <w:tcBorders>
              <w:top w:val="single" w:sz="4" w:space="0" w:color="auto"/>
              <w:left w:val="nil"/>
              <w:bottom w:val="single" w:sz="8" w:space="0" w:color="auto"/>
              <w:right w:val="single" w:sz="8" w:space="0" w:color="auto"/>
            </w:tcBorders>
            <w:shd w:val="clear" w:color="auto" w:fill="auto"/>
            <w:hideMark/>
          </w:tcPr>
          <w:p w14:paraId="7E4A0AC5" w14:textId="085FF89C" w:rsidR="00E42262" w:rsidRPr="002D5B51" w:rsidRDefault="00E42262" w:rsidP="00D2021A">
            <w:pPr>
              <w:suppressLineNumbers w:val="0"/>
              <w:tabs>
                <w:tab w:val="clear" w:pos="907"/>
                <w:tab w:val="clear" w:pos="9185"/>
              </w:tabs>
              <w:suppressAutoHyphens w:val="0"/>
              <w:spacing w:after="120" w:line="240" w:lineRule="auto"/>
              <w:jc w:val="left"/>
              <w:rPr>
                <w:rFonts w:ascii="Arial" w:hAnsi="Arial" w:cs="Arial"/>
                <w:color w:val="000000"/>
                <w:sz w:val="20"/>
              </w:rPr>
            </w:pPr>
            <w:r>
              <w:rPr>
                <w:rFonts w:ascii="Arial" w:hAnsi="Arial" w:cs="Arial"/>
                <w:color w:val="000000"/>
                <w:sz w:val="20"/>
              </w:rPr>
              <w:t>The fund aim</w:t>
            </w:r>
            <w:r w:rsidR="00511D6B">
              <w:rPr>
                <w:rFonts w:ascii="Arial" w:hAnsi="Arial" w:cs="Arial"/>
                <w:color w:val="000000"/>
                <w:sz w:val="20"/>
              </w:rPr>
              <w:t>s</w:t>
            </w:r>
            <w:r>
              <w:rPr>
                <w:rFonts w:ascii="Arial" w:hAnsi="Arial" w:cs="Arial"/>
                <w:color w:val="000000"/>
                <w:sz w:val="20"/>
              </w:rPr>
              <w:t xml:space="preserve"> to achieve a high level of income, together with capital growth. The fund invests primarily in companies listed in the UK, with the balance invested internationally. </w:t>
            </w:r>
          </w:p>
        </w:tc>
        <w:tc>
          <w:tcPr>
            <w:tcW w:w="2551" w:type="dxa"/>
            <w:tcBorders>
              <w:top w:val="single" w:sz="4" w:space="0" w:color="auto"/>
              <w:left w:val="nil"/>
              <w:bottom w:val="single" w:sz="8" w:space="0" w:color="auto"/>
              <w:right w:val="single" w:sz="8" w:space="0" w:color="auto"/>
            </w:tcBorders>
          </w:tcPr>
          <w:p w14:paraId="5C033C49" w14:textId="3715471E" w:rsidR="00E42262" w:rsidRDefault="00476B77" w:rsidP="004E4621">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color w:val="000000"/>
                <w:sz w:val="20"/>
              </w:rPr>
              <w:t xml:space="preserve">FTSE All Share </w:t>
            </w:r>
          </w:p>
        </w:tc>
      </w:tr>
      <w:tr w:rsidR="00E42262" w:rsidRPr="002D5B51" w14:paraId="38DAF0CD" w14:textId="032CAECA" w:rsidTr="00511D6B">
        <w:trPr>
          <w:trHeight w:val="968"/>
        </w:trPr>
        <w:tc>
          <w:tcPr>
            <w:tcW w:w="1408" w:type="dxa"/>
            <w:tcBorders>
              <w:top w:val="nil"/>
              <w:left w:val="single" w:sz="8" w:space="0" w:color="auto"/>
              <w:bottom w:val="single" w:sz="8" w:space="0" w:color="auto"/>
              <w:right w:val="single" w:sz="8" w:space="0" w:color="auto"/>
            </w:tcBorders>
            <w:shd w:val="clear" w:color="auto" w:fill="auto"/>
            <w:noWrap/>
            <w:hideMark/>
          </w:tcPr>
          <w:p w14:paraId="12B02D5E" w14:textId="374A20DB" w:rsidR="00E42262" w:rsidRPr="002D5B51" w:rsidRDefault="00E42262" w:rsidP="004E4621">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color w:val="000000"/>
                <w:sz w:val="20"/>
              </w:rPr>
              <w:t>Newton Real Return</w:t>
            </w:r>
          </w:p>
        </w:tc>
        <w:tc>
          <w:tcPr>
            <w:tcW w:w="992" w:type="dxa"/>
            <w:tcBorders>
              <w:top w:val="nil"/>
              <w:left w:val="nil"/>
              <w:bottom w:val="single" w:sz="8" w:space="0" w:color="auto"/>
              <w:right w:val="single" w:sz="8" w:space="0" w:color="auto"/>
            </w:tcBorders>
            <w:shd w:val="clear" w:color="auto" w:fill="auto"/>
            <w:noWrap/>
          </w:tcPr>
          <w:p w14:paraId="0BC919C9" w14:textId="32E645FC" w:rsidR="00E42262" w:rsidRPr="002D5B51" w:rsidRDefault="00E42262" w:rsidP="004E4621">
            <w:pPr>
              <w:suppressLineNumbers w:val="0"/>
              <w:tabs>
                <w:tab w:val="clear" w:pos="907"/>
                <w:tab w:val="clear" w:pos="9185"/>
              </w:tabs>
              <w:suppressAutoHyphens w:val="0"/>
              <w:spacing w:line="240" w:lineRule="auto"/>
              <w:jc w:val="center"/>
              <w:rPr>
                <w:rFonts w:ascii="Arial" w:hAnsi="Arial" w:cs="Arial"/>
                <w:color w:val="000000"/>
                <w:sz w:val="20"/>
              </w:rPr>
            </w:pPr>
            <w:r>
              <w:rPr>
                <w:rFonts w:ascii="Arial" w:hAnsi="Arial" w:cs="Arial"/>
                <w:color w:val="000000"/>
                <w:sz w:val="20"/>
              </w:rPr>
              <w:t>0.89</w:t>
            </w:r>
          </w:p>
        </w:tc>
        <w:tc>
          <w:tcPr>
            <w:tcW w:w="1418" w:type="dxa"/>
            <w:tcBorders>
              <w:top w:val="nil"/>
              <w:left w:val="nil"/>
              <w:bottom w:val="single" w:sz="8" w:space="0" w:color="auto"/>
              <w:right w:val="single" w:sz="8" w:space="0" w:color="auto"/>
            </w:tcBorders>
            <w:shd w:val="clear" w:color="auto" w:fill="auto"/>
            <w:hideMark/>
          </w:tcPr>
          <w:p w14:paraId="3CEEF50F" w14:textId="77777777" w:rsidR="00E42262" w:rsidRPr="002D5B51" w:rsidRDefault="00E42262" w:rsidP="004E4621">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color w:val="000000"/>
                <w:sz w:val="20"/>
              </w:rPr>
              <w:t>Active</w:t>
            </w:r>
          </w:p>
        </w:tc>
        <w:tc>
          <w:tcPr>
            <w:tcW w:w="3402" w:type="dxa"/>
            <w:tcBorders>
              <w:top w:val="nil"/>
              <w:left w:val="nil"/>
              <w:bottom w:val="single" w:sz="8" w:space="0" w:color="auto"/>
              <w:right w:val="single" w:sz="8" w:space="0" w:color="auto"/>
            </w:tcBorders>
            <w:shd w:val="clear" w:color="auto" w:fill="auto"/>
            <w:hideMark/>
          </w:tcPr>
          <w:p w14:paraId="363C0D67" w14:textId="52383B11" w:rsidR="00E42262" w:rsidRPr="002D5B51" w:rsidRDefault="00E42262" w:rsidP="00D2021A">
            <w:pPr>
              <w:suppressLineNumbers w:val="0"/>
              <w:tabs>
                <w:tab w:val="clear" w:pos="907"/>
                <w:tab w:val="clear" w:pos="9185"/>
              </w:tabs>
              <w:suppressAutoHyphens w:val="0"/>
              <w:spacing w:after="120" w:line="240" w:lineRule="auto"/>
              <w:jc w:val="left"/>
              <w:rPr>
                <w:rFonts w:ascii="Arial" w:hAnsi="Arial" w:cs="Arial"/>
                <w:color w:val="000000"/>
                <w:sz w:val="20"/>
              </w:rPr>
            </w:pPr>
            <w:r>
              <w:rPr>
                <w:rFonts w:ascii="Arial" w:hAnsi="Arial" w:cs="Arial"/>
                <w:color w:val="000000"/>
                <w:sz w:val="20"/>
              </w:rPr>
              <w:t>The fund aims to achieve a total return comprised of long-term capital growth and income by investing in a broad multi-asset portfolio.</w:t>
            </w:r>
          </w:p>
        </w:tc>
        <w:tc>
          <w:tcPr>
            <w:tcW w:w="2551" w:type="dxa"/>
            <w:tcBorders>
              <w:top w:val="nil"/>
              <w:left w:val="nil"/>
              <w:bottom w:val="single" w:sz="8" w:space="0" w:color="auto"/>
              <w:right w:val="single" w:sz="8" w:space="0" w:color="auto"/>
            </w:tcBorders>
          </w:tcPr>
          <w:p w14:paraId="643A2EEE" w14:textId="4A78FF19" w:rsidR="00E42262" w:rsidRDefault="00693671" w:rsidP="004E4621">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sz w:val="20"/>
              </w:rPr>
              <w:t>100% 1 Month GBP LIBOR +4%</w:t>
            </w:r>
          </w:p>
        </w:tc>
      </w:tr>
      <w:tr w:rsidR="00E42262" w:rsidRPr="002D5B51" w14:paraId="3B8E9EE8" w14:textId="27275F78" w:rsidTr="00511D6B">
        <w:trPr>
          <w:trHeight w:val="1421"/>
        </w:trPr>
        <w:tc>
          <w:tcPr>
            <w:tcW w:w="1408" w:type="dxa"/>
            <w:tcBorders>
              <w:top w:val="nil"/>
              <w:left w:val="single" w:sz="8" w:space="0" w:color="auto"/>
              <w:bottom w:val="single" w:sz="4" w:space="0" w:color="auto"/>
              <w:right w:val="single" w:sz="8" w:space="0" w:color="auto"/>
            </w:tcBorders>
            <w:shd w:val="clear" w:color="auto" w:fill="auto"/>
            <w:noWrap/>
            <w:hideMark/>
          </w:tcPr>
          <w:p w14:paraId="69CCC214" w14:textId="4DCDF7A7" w:rsidR="00E42262" w:rsidRDefault="007A6441" w:rsidP="004E4621">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color w:val="000000"/>
                <w:sz w:val="20"/>
              </w:rPr>
              <w:t>L&amp;G Multi Asset</w:t>
            </w:r>
          </w:p>
          <w:p w14:paraId="4254ADC8" w14:textId="49C6F93D" w:rsidR="00083DC6" w:rsidRPr="00083DC6" w:rsidRDefault="00083DC6" w:rsidP="004E4621">
            <w:pPr>
              <w:suppressLineNumbers w:val="0"/>
              <w:tabs>
                <w:tab w:val="clear" w:pos="907"/>
                <w:tab w:val="clear" w:pos="9185"/>
              </w:tabs>
              <w:suppressAutoHyphens w:val="0"/>
              <w:spacing w:line="240" w:lineRule="auto"/>
              <w:jc w:val="left"/>
              <w:rPr>
                <w:rFonts w:ascii="Arial" w:hAnsi="Arial" w:cs="Arial"/>
                <w:color w:val="000000"/>
                <w:sz w:val="16"/>
                <w:szCs w:val="16"/>
              </w:rPr>
            </w:pPr>
            <w:r w:rsidRPr="00083DC6">
              <w:rPr>
                <w:rFonts w:ascii="Arial" w:hAnsi="Arial" w:cs="Arial"/>
                <w:color w:val="000000"/>
                <w:sz w:val="16"/>
                <w:szCs w:val="16"/>
              </w:rPr>
              <w:t>(previously L&amp;G Consensus)</w:t>
            </w:r>
          </w:p>
        </w:tc>
        <w:tc>
          <w:tcPr>
            <w:tcW w:w="992" w:type="dxa"/>
            <w:tcBorders>
              <w:top w:val="nil"/>
              <w:left w:val="nil"/>
              <w:bottom w:val="single" w:sz="4" w:space="0" w:color="auto"/>
              <w:right w:val="single" w:sz="8" w:space="0" w:color="auto"/>
            </w:tcBorders>
            <w:shd w:val="clear" w:color="auto" w:fill="auto"/>
            <w:noWrap/>
          </w:tcPr>
          <w:p w14:paraId="459BAC2B" w14:textId="34D0146A" w:rsidR="00E42262" w:rsidRPr="002D5B51" w:rsidRDefault="007A6441" w:rsidP="004E4621">
            <w:pPr>
              <w:suppressLineNumbers w:val="0"/>
              <w:tabs>
                <w:tab w:val="clear" w:pos="907"/>
                <w:tab w:val="clear" w:pos="9185"/>
              </w:tabs>
              <w:suppressAutoHyphens w:val="0"/>
              <w:spacing w:line="240" w:lineRule="auto"/>
              <w:jc w:val="center"/>
              <w:rPr>
                <w:rFonts w:ascii="Arial" w:hAnsi="Arial" w:cs="Arial"/>
                <w:color w:val="000000"/>
                <w:sz w:val="20"/>
              </w:rPr>
            </w:pPr>
            <w:r>
              <w:rPr>
                <w:rFonts w:ascii="Arial" w:hAnsi="Arial" w:cs="Arial"/>
                <w:color w:val="000000"/>
                <w:sz w:val="20"/>
              </w:rPr>
              <w:t>0.265</w:t>
            </w:r>
          </w:p>
        </w:tc>
        <w:tc>
          <w:tcPr>
            <w:tcW w:w="1418" w:type="dxa"/>
            <w:tcBorders>
              <w:top w:val="nil"/>
              <w:left w:val="nil"/>
              <w:bottom w:val="single" w:sz="4" w:space="0" w:color="auto"/>
              <w:right w:val="single" w:sz="8" w:space="0" w:color="auto"/>
            </w:tcBorders>
            <w:shd w:val="clear" w:color="auto" w:fill="auto"/>
            <w:hideMark/>
          </w:tcPr>
          <w:p w14:paraId="0028D7A6" w14:textId="6FCC595C" w:rsidR="00E42262" w:rsidRPr="002D5B51" w:rsidRDefault="00E42262" w:rsidP="004E4621">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color w:val="000000"/>
                <w:sz w:val="20"/>
              </w:rPr>
              <w:t>Passive</w:t>
            </w:r>
          </w:p>
        </w:tc>
        <w:tc>
          <w:tcPr>
            <w:tcW w:w="3402" w:type="dxa"/>
            <w:tcBorders>
              <w:top w:val="nil"/>
              <w:left w:val="nil"/>
              <w:bottom w:val="single" w:sz="4" w:space="0" w:color="auto"/>
              <w:right w:val="single" w:sz="8" w:space="0" w:color="auto"/>
            </w:tcBorders>
            <w:shd w:val="clear" w:color="auto" w:fill="auto"/>
            <w:hideMark/>
          </w:tcPr>
          <w:p w14:paraId="39E5AF9B" w14:textId="3F8C25AC" w:rsidR="00E42262" w:rsidRPr="002D5B51" w:rsidRDefault="008A6B77" w:rsidP="00DA02E7">
            <w:pPr>
              <w:suppressLineNumbers w:val="0"/>
              <w:tabs>
                <w:tab w:val="clear" w:pos="907"/>
                <w:tab w:val="clear" w:pos="9185"/>
              </w:tabs>
              <w:suppressAutoHyphens w:val="0"/>
              <w:spacing w:after="120" w:line="240" w:lineRule="auto"/>
              <w:jc w:val="left"/>
              <w:rPr>
                <w:rFonts w:ascii="Arial" w:hAnsi="Arial" w:cs="Arial"/>
                <w:color w:val="000000"/>
                <w:sz w:val="20"/>
              </w:rPr>
            </w:pPr>
            <w:r>
              <w:rPr>
                <w:rFonts w:ascii="Arial" w:hAnsi="Arial" w:cs="Arial"/>
                <w:color w:val="000000"/>
                <w:sz w:val="20"/>
              </w:rPr>
              <w:t>The f</w:t>
            </w:r>
            <w:r w:rsidR="00DA02E7" w:rsidRPr="00DA02E7">
              <w:rPr>
                <w:rFonts w:ascii="Arial" w:hAnsi="Arial" w:cs="Arial"/>
                <w:color w:val="000000"/>
                <w:sz w:val="20"/>
              </w:rPr>
              <w:t>und aims to provide long term investment growth through exp</w:t>
            </w:r>
            <w:r w:rsidR="00DA02E7">
              <w:rPr>
                <w:rFonts w:ascii="Arial" w:hAnsi="Arial" w:cs="Arial"/>
                <w:color w:val="000000"/>
                <w:sz w:val="20"/>
              </w:rPr>
              <w:t xml:space="preserve">osure to a diversified range of </w:t>
            </w:r>
            <w:r w:rsidR="00DA02E7" w:rsidRPr="00DA02E7">
              <w:rPr>
                <w:rFonts w:ascii="Arial" w:hAnsi="Arial" w:cs="Arial"/>
                <w:color w:val="000000"/>
                <w:sz w:val="20"/>
              </w:rPr>
              <w:t>asset classe</w:t>
            </w:r>
            <w:r w:rsidR="00DA02E7">
              <w:rPr>
                <w:rFonts w:ascii="Arial" w:hAnsi="Arial" w:cs="Arial"/>
                <w:color w:val="000000"/>
                <w:sz w:val="20"/>
              </w:rPr>
              <w:t xml:space="preserve">s, excluding physical </w:t>
            </w:r>
            <w:proofErr w:type="spellStart"/>
            <w:proofErr w:type="gramStart"/>
            <w:r w:rsidR="00DA02E7">
              <w:rPr>
                <w:rFonts w:ascii="Arial" w:hAnsi="Arial" w:cs="Arial"/>
                <w:color w:val="000000"/>
                <w:sz w:val="20"/>
              </w:rPr>
              <w:t>property.</w:t>
            </w:r>
            <w:r w:rsidR="00DA02E7" w:rsidRPr="00DA02E7">
              <w:rPr>
                <w:rFonts w:ascii="Arial" w:hAnsi="Arial" w:cs="Arial"/>
                <w:color w:val="000000"/>
                <w:sz w:val="20"/>
              </w:rPr>
              <w:t>The</w:t>
            </w:r>
            <w:proofErr w:type="spellEnd"/>
            <w:proofErr w:type="gramEnd"/>
            <w:r w:rsidR="00DA02E7" w:rsidRPr="00DA02E7">
              <w:rPr>
                <w:rFonts w:ascii="Arial" w:hAnsi="Arial" w:cs="Arial"/>
                <w:color w:val="000000"/>
                <w:sz w:val="20"/>
              </w:rPr>
              <w:t xml:space="preserve"> diversified nature</w:t>
            </w:r>
            <w:r>
              <w:rPr>
                <w:rFonts w:ascii="Arial" w:hAnsi="Arial" w:cs="Arial"/>
                <w:color w:val="000000"/>
                <w:sz w:val="20"/>
              </w:rPr>
              <w:t xml:space="preserve"> of the f</w:t>
            </w:r>
            <w:r w:rsidR="00AA6419">
              <w:rPr>
                <w:rFonts w:ascii="Arial" w:hAnsi="Arial" w:cs="Arial"/>
                <w:color w:val="000000"/>
                <w:sz w:val="20"/>
              </w:rPr>
              <w:t>und means that it</w:t>
            </w:r>
            <w:r w:rsidR="00DA02E7">
              <w:rPr>
                <w:rFonts w:ascii="Arial" w:hAnsi="Arial" w:cs="Arial"/>
                <w:color w:val="000000"/>
                <w:sz w:val="20"/>
              </w:rPr>
              <w:t xml:space="preserve"> </w:t>
            </w:r>
            <w:r w:rsidR="00DA02E7" w:rsidRPr="00DA02E7">
              <w:rPr>
                <w:rFonts w:ascii="Arial" w:hAnsi="Arial" w:cs="Arial"/>
                <w:color w:val="000000"/>
                <w:sz w:val="20"/>
              </w:rPr>
              <w:t>is expected to have less exposure than an equity only fund to adverse equity market conditions.</w:t>
            </w:r>
            <w:r w:rsidR="00DA02E7">
              <w:rPr>
                <w:rFonts w:ascii="Arial" w:hAnsi="Arial" w:cs="Arial"/>
                <w:color w:val="000000"/>
                <w:sz w:val="20"/>
              </w:rPr>
              <w:t xml:space="preserve"> </w:t>
            </w:r>
            <w:r>
              <w:rPr>
                <w:rFonts w:ascii="Arial" w:hAnsi="Arial" w:cs="Arial"/>
                <w:color w:val="000000"/>
                <w:sz w:val="20"/>
              </w:rPr>
              <w:t>However, the f</w:t>
            </w:r>
            <w:r w:rsidR="00DA02E7" w:rsidRPr="00DA02E7">
              <w:rPr>
                <w:rFonts w:ascii="Arial" w:hAnsi="Arial" w:cs="Arial"/>
                <w:color w:val="000000"/>
                <w:sz w:val="20"/>
              </w:rPr>
              <w:t>und may perform less strongly than an equity only fund in benign or positive market</w:t>
            </w:r>
            <w:r w:rsidR="00DA02E7">
              <w:rPr>
                <w:rFonts w:ascii="Arial" w:hAnsi="Arial" w:cs="Arial"/>
                <w:color w:val="000000"/>
                <w:sz w:val="20"/>
              </w:rPr>
              <w:t xml:space="preserve"> conditions.</w:t>
            </w:r>
          </w:p>
        </w:tc>
        <w:tc>
          <w:tcPr>
            <w:tcW w:w="2551" w:type="dxa"/>
            <w:tcBorders>
              <w:top w:val="nil"/>
              <w:left w:val="nil"/>
              <w:bottom w:val="single" w:sz="4" w:space="0" w:color="auto"/>
              <w:right w:val="single" w:sz="8" w:space="0" w:color="auto"/>
            </w:tcBorders>
          </w:tcPr>
          <w:p w14:paraId="2C864481" w14:textId="771CA22E" w:rsidR="00E42262" w:rsidRDefault="00476B77" w:rsidP="007147A1">
            <w:pPr>
              <w:suppressLineNumbers w:val="0"/>
              <w:tabs>
                <w:tab w:val="clear" w:pos="907"/>
                <w:tab w:val="clear" w:pos="9185"/>
              </w:tabs>
              <w:suppressAutoHyphens w:val="0"/>
              <w:spacing w:line="240" w:lineRule="auto"/>
              <w:jc w:val="left"/>
              <w:rPr>
                <w:rFonts w:ascii="Arial" w:hAnsi="Arial" w:cs="Arial"/>
                <w:color w:val="000000"/>
                <w:sz w:val="20"/>
              </w:rPr>
            </w:pPr>
            <w:r w:rsidRPr="00DA02E7">
              <w:rPr>
                <w:rFonts w:ascii="Arial" w:hAnsi="Arial" w:cs="Arial"/>
                <w:color w:val="000000"/>
                <w:sz w:val="20"/>
              </w:rPr>
              <w:t>Composite Benchmark</w:t>
            </w:r>
            <w:r w:rsidR="00F4308D" w:rsidRPr="00DA02E7">
              <w:rPr>
                <w:rFonts w:ascii="Arial" w:hAnsi="Arial" w:cs="Arial"/>
                <w:color w:val="000000"/>
                <w:sz w:val="20"/>
              </w:rPr>
              <w:t xml:space="preserve"> </w:t>
            </w:r>
          </w:p>
        </w:tc>
      </w:tr>
      <w:tr w:rsidR="008A6B77" w:rsidRPr="002D5B51" w14:paraId="354FB52D" w14:textId="77777777" w:rsidTr="008A6B77">
        <w:trPr>
          <w:trHeight w:val="983"/>
        </w:trPr>
        <w:tc>
          <w:tcPr>
            <w:tcW w:w="1408" w:type="dxa"/>
            <w:tcBorders>
              <w:top w:val="single" w:sz="4" w:space="0" w:color="auto"/>
              <w:left w:val="single" w:sz="8" w:space="0" w:color="auto"/>
              <w:bottom w:val="single" w:sz="4" w:space="0" w:color="auto"/>
              <w:right w:val="single" w:sz="8" w:space="0" w:color="auto"/>
            </w:tcBorders>
            <w:shd w:val="clear" w:color="auto" w:fill="8064A2" w:themeFill="accent4"/>
            <w:noWrap/>
            <w:vAlign w:val="center"/>
          </w:tcPr>
          <w:p w14:paraId="7051543A" w14:textId="5051A8F8" w:rsidR="008A6B77" w:rsidRDefault="008A6B77" w:rsidP="008A6B77">
            <w:pPr>
              <w:suppressLineNumbers w:val="0"/>
              <w:tabs>
                <w:tab w:val="clear" w:pos="907"/>
                <w:tab w:val="clear" w:pos="9185"/>
              </w:tabs>
              <w:suppressAutoHyphens w:val="0"/>
              <w:spacing w:line="240" w:lineRule="auto"/>
              <w:jc w:val="left"/>
              <w:rPr>
                <w:rFonts w:ascii="Arial" w:hAnsi="Arial" w:cs="Arial"/>
                <w:color w:val="000000"/>
                <w:sz w:val="20"/>
              </w:rPr>
            </w:pPr>
            <w:r w:rsidRPr="002D5B51">
              <w:rPr>
                <w:rFonts w:ascii="Arial" w:hAnsi="Arial" w:cs="Arial"/>
                <w:b/>
                <w:bCs/>
                <w:color w:val="FFFFFF" w:themeColor="background1"/>
                <w:sz w:val="22"/>
                <w:szCs w:val="24"/>
              </w:rPr>
              <w:lastRenderedPageBreak/>
              <w:t>Fund Name</w:t>
            </w:r>
          </w:p>
        </w:tc>
        <w:tc>
          <w:tcPr>
            <w:tcW w:w="992" w:type="dxa"/>
            <w:tcBorders>
              <w:top w:val="single" w:sz="4" w:space="0" w:color="auto"/>
              <w:left w:val="nil"/>
              <w:bottom w:val="single" w:sz="4" w:space="0" w:color="auto"/>
              <w:right w:val="single" w:sz="8" w:space="0" w:color="auto"/>
            </w:tcBorders>
            <w:shd w:val="clear" w:color="auto" w:fill="8064A2" w:themeFill="accent4"/>
            <w:noWrap/>
            <w:vAlign w:val="center"/>
          </w:tcPr>
          <w:p w14:paraId="7B193891" w14:textId="67CC178B" w:rsidR="008A6B77" w:rsidRDefault="008A6B77" w:rsidP="008A6B77">
            <w:pPr>
              <w:suppressLineNumbers w:val="0"/>
              <w:tabs>
                <w:tab w:val="clear" w:pos="907"/>
                <w:tab w:val="clear" w:pos="9185"/>
              </w:tabs>
              <w:suppressAutoHyphens w:val="0"/>
              <w:spacing w:line="240" w:lineRule="auto"/>
              <w:jc w:val="center"/>
              <w:rPr>
                <w:rFonts w:ascii="Arial" w:hAnsi="Arial" w:cs="Arial"/>
                <w:color w:val="000000"/>
                <w:sz w:val="20"/>
              </w:rPr>
            </w:pPr>
            <w:r>
              <w:rPr>
                <w:rFonts w:ascii="Arial" w:hAnsi="Arial" w:cs="Arial"/>
                <w:b/>
                <w:bCs/>
                <w:color w:val="FFFFFF" w:themeColor="background1"/>
                <w:sz w:val="22"/>
                <w:szCs w:val="24"/>
              </w:rPr>
              <w:t>Fund TER %</w:t>
            </w:r>
          </w:p>
        </w:tc>
        <w:tc>
          <w:tcPr>
            <w:tcW w:w="1418" w:type="dxa"/>
            <w:tcBorders>
              <w:top w:val="single" w:sz="4" w:space="0" w:color="auto"/>
              <w:left w:val="nil"/>
              <w:bottom w:val="single" w:sz="4" w:space="0" w:color="auto"/>
              <w:right w:val="single" w:sz="8" w:space="0" w:color="auto"/>
            </w:tcBorders>
            <w:shd w:val="clear" w:color="auto" w:fill="8064A2" w:themeFill="accent4"/>
            <w:vAlign w:val="center"/>
          </w:tcPr>
          <w:p w14:paraId="119C0A7D" w14:textId="1BB02D74" w:rsidR="008A6B77" w:rsidRDefault="008A6B77" w:rsidP="008A6B77">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b/>
                <w:bCs/>
                <w:color w:val="FFFFFF" w:themeColor="background1"/>
                <w:sz w:val="22"/>
                <w:szCs w:val="24"/>
              </w:rPr>
              <w:t>Investment Approach</w:t>
            </w:r>
          </w:p>
        </w:tc>
        <w:tc>
          <w:tcPr>
            <w:tcW w:w="3402" w:type="dxa"/>
            <w:tcBorders>
              <w:top w:val="single" w:sz="4" w:space="0" w:color="auto"/>
              <w:left w:val="nil"/>
              <w:bottom w:val="single" w:sz="4" w:space="0" w:color="auto"/>
              <w:right w:val="single" w:sz="8" w:space="0" w:color="auto"/>
            </w:tcBorders>
            <w:shd w:val="clear" w:color="auto" w:fill="8064A2" w:themeFill="accent4"/>
            <w:vAlign w:val="center"/>
          </w:tcPr>
          <w:p w14:paraId="2A4B21F9" w14:textId="50CC7B94" w:rsidR="008A6B77" w:rsidRDefault="008A6B77" w:rsidP="008A6B77">
            <w:pPr>
              <w:suppressLineNumbers w:val="0"/>
              <w:tabs>
                <w:tab w:val="clear" w:pos="907"/>
                <w:tab w:val="clear" w:pos="9185"/>
              </w:tabs>
              <w:suppressAutoHyphens w:val="0"/>
              <w:spacing w:after="120" w:line="240" w:lineRule="auto"/>
              <w:jc w:val="left"/>
              <w:rPr>
                <w:rFonts w:ascii="Arial" w:hAnsi="Arial" w:cs="Arial"/>
                <w:color w:val="000000"/>
                <w:sz w:val="20"/>
              </w:rPr>
            </w:pPr>
            <w:r>
              <w:rPr>
                <w:rFonts w:ascii="Arial" w:hAnsi="Arial" w:cs="Arial"/>
                <w:b/>
                <w:bCs/>
                <w:color w:val="FFFFFF" w:themeColor="background1"/>
                <w:sz w:val="22"/>
                <w:szCs w:val="24"/>
              </w:rPr>
              <w:t>Fund Aims</w:t>
            </w:r>
          </w:p>
        </w:tc>
        <w:tc>
          <w:tcPr>
            <w:tcW w:w="2551" w:type="dxa"/>
            <w:tcBorders>
              <w:top w:val="single" w:sz="4" w:space="0" w:color="auto"/>
              <w:left w:val="nil"/>
              <w:bottom w:val="single" w:sz="4" w:space="0" w:color="auto"/>
              <w:right w:val="single" w:sz="8" w:space="0" w:color="auto"/>
            </w:tcBorders>
            <w:shd w:val="clear" w:color="auto" w:fill="8064A2" w:themeFill="accent4"/>
            <w:vAlign w:val="center"/>
          </w:tcPr>
          <w:p w14:paraId="1F6308A7" w14:textId="4FADBEB2" w:rsidR="008A6B77" w:rsidRDefault="008A6B77" w:rsidP="008A6B77">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b/>
                <w:bCs/>
                <w:color w:val="FFFFFF" w:themeColor="background1"/>
                <w:sz w:val="22"/>
                <w:szCs w:val="24"/>
              </w:rPr>
              <w:t>Benchmark</w:t>
            </w:r>
          </w:p>
        </w:tc>
      </w:tr>
      <w:tr w:rsidR="00E42262" w:rsidRPr="002D5B51" w14:paraId="1E5193CD" w14:textId="35FECE66" w:rsidTr="00511D6B">
        <w:trPr>
          <w:trHeight w:val="1230"/>
        </w:trPr>
        <w:tc>
          <w:tcPr>
            <w:tcW w:w="1408" w:type="dxa"/>
            <w:tcBorders>
              <w:top w:val="single" w:sz="4" w:space="0" w:color="auto"/>
              <w:left w:val="single" w:sz="8" w:space="0" w:color="auto"/>
              <w:bottom w:val="single" w:sz="4" w:space="0" w:color="auto"/>
              <w:right w:val="single" w:sz="8" w:space="0" w:color="auto"/>
            </w:tcBorders>
            <w:shd w:val="clear" w:color="auto" w:fill="auto"/>
            <w:noWrap/>
            <w:hideMark/>
          </w:tcPr>
          <w:p w14:paraId="49A2ABC9" w14:textId="14A74E65" w:rsidR="00E42262" w:rsidRPr="002D5B51" w:rsidRDefault="00E42262" w:rsidP="004E4621">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color w:val="000000"/>
                <w:sz w:val="20"/>
              </w:rPr>
              <w:t>L&amp;G Pre-Retirement</w:t>
            </w:r>
          </w:p>
        </w:tc>
        <w:tc>
          <w:tcPr>
            <w:tcW w:w="992" w:type="dxa"/>
            <w:tcBorders>
              <w:top w:val="single" w:sz="4" w:space="0" w:color="auto"/>
              <w:left w:val="nil"/>
              <w:bottom w:val="single" w:sz="4" w:space="0" w:color="auto"/>
              <w:right w:val="single" w:sz="8" w:space="0" w:color="auto"/>
            </w:tcBorders>
            <w:shd w:val="clear" w:color="auto" w:fill="auto"/>
            <w:noWrap/>
          </w:tcPr>
          <w:p w14:paraId="00A50E0C" w14:textId="530768B4" w:rsidR="00E42262" w:rsidRPr="002D5B51" w:rsidRDefault="00E42262" w:rsidP="004E4621">
            <w:pPr>
              <w:suppressLineNumbers w:val="0"/>
              <w:tabs>
                <w:tab w:val="clear" w:pos="907"/>
                <w:tab w:val="clear" w:pos="9185"/>
              </w:tabs>
              <w:suppressAutoHyphens w:val="0"/>
              <w:spacing w:line="240" w:lineRule="auto"/>
              <w:jc w:val="center"/>
              <w:rPr>
                <w:rFonts w:ascii="Arial" w:hAnsi="Arial" w:cs="Arial"/>
                <w:color w:val="000000"/>
                <w:sz w:val="20"/>
              </w:rPr>
            </w:pPr>
            <w:r>
              <w:rPr>
                <w:rFonts w:ascii="Arial" w:hAnsi="Arial" w:cs="Arial"/>
                <w:color w:val="000000"/>
                <w:sz w:val="20"/>
              </w:rPr>
              <w:t>0.18</w:t>
            </w:r>
          </w:p>
        </w:tc>
        <w:tc>
          <w:tcPr>
            <w:tcW w:w="1418" w:type="dxa"/>
            <w:tcBorders>
              <w:top w:val="single" w:sz="4" w:space="0" w:color="auto"/>
              <w:left w:val="nil"/>
              <w:bottom w:val="single" w:sz="4" w:space="0" w:color="auto"/>
              <w:right w:val="single" w:sz="8" w:space="0" w:color="auto"/>
            </w:tcBorders>
            <w:shd w:val="clear" w:color="auto" w:fill="auto"/>
            <w:hideMark/>
          </w:tcPr>
          <w:p w14:paraId="57189589" w14:textId="77777777" w:rsidR="00E42262" w:rsidRPr="002D5B51" w:rsidRDefault="00E42262" w:rsidP="004E4621">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color w:val="000000"/>
                <w:sz w:val="20"/>
              </w:rPr>
              <w:t>Passive</w:t>
            </w:r>
          </w:p>
        </w:tc>
        <w:tc>
          <w:tcPr>
            <w:tcW w:w="3402" w:type="dxa"/>
            <w:tcBorders>
              <w:top w:val="single" w:sz="4" w:space="0" w:color="auto"/>
              <w:left w:val="nil"/>
              <w:bottom w:val="single" w:sz="4" w:space="0" w:color="auto"/>
              <w:right w:val="single" w:sz="8" w:space="0" w:color="auto"/>
            </w:tcBorders>
            <w:shd w:val="clear" w:color="auto" w:fill="auto"/>
            <w:hideMark/>
          </w:tcPr>
          <w:p w14:paraId="652D84EE" w14:textId="5482FAB5" w:rsidR="00511D6B" w:rsidRPr="002D5B51" w:rsidRDefault="00E42262" w:rsidP="00D2021A">
            <w:pPr>
              <w:suppressLineNumbers w:val="0"/>
              <w:tabs>
                <w:tab w:val="clear" w:pos="907"/>
                <w:tab w:val="clear" w:pos="9185"/>
              </w:tabs>
              <w:suppressAutoHyphens w:val="0"/>
              <w:spacing w:after="120" w:line="240" w:lineRule="auto"/>
              <w:jc w:val="left"/>
              <w:rPr>
                <w:rFonts w:ascii="Arial" w:hAnsi="Arial" w:cs="Arial"/>
                <w:color w:val="000000"/>
                <w:sz w:val="20"/>
              </w:rPr>
            </w:pPr>
            <w:r>
              <w:rPr>
                <w:rFonts w:ascii="Arial" w:hAnsi="Arial" w:cs="Arial"/>
                <w:color w:val="000000"/>
                <w:sz w:val="20"/>
              </w:rPr>
              <w:t>The fund aims to track the investments underlying the average non-inflation linked pension annuity product. It invests in L&amp;G’s index-tracking bond funds to gain exposure to these assets.</w:t>
            </w:r>
          </w:p>
        </w:tc>
        <w:tc>
          <w:tcPr>
            <w:tcW w:w="2551" w:type="dxa"/>
            <w:tcBorders>
              <w:top w:val="single" w:sz="4" w:space="0" w:color="auto"/>
              <w:left w:val="nil"/>
              <w:bottom w:val="single" w:sz="4" w:space="0" w:color="auto"/>
              <w:right w:val="single" w:sz="8" w:space="0" w:color="auto"/>
            </w:tcBorders>
          </w:tcPr>
          <w:p w14:paraId="0B40E81D" w14:textId="435E3E01" w:rsidR="00E42262" w:rsidRDefault="00693671" w:rsidP="004E4621">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color w:val="000000"/>
                <w:sz w:val="20"/>
              </w:rPr>
              <w:t xml:space="preserve">Long-term expected annualised rate of return is broadly </w:t>
            </w:r>
            <w:proofErr w:type="gramStart"/>
            <w:r>
              <w:rPr>
                <w:rFonts w:ascii="Arial" w:hAnsi="Arial" w:cs="Arial"/>
                <w:color w:val="000000"/>
                <w:sz w:val="20"/>
              </w:rPr>
              <w:t>similar to</w:t>
            </w:r>
            <w:proofErr w:type="gramEnd"/>
            <w:r>
              <w:rPr>
                <w:rFonts w:ascii="Arial" w:hAnsi="Arial" w:cs="Arial"/>
                <w:color w:val="000000"/>
                <w:sz w:val="20"/>
              </w:rPr>
              <w:t xml:space="preserve"> that of a traditional level annuity product</w:t>
            </w:r>
          </w:p>
        </w:tc>
      </w:tr>
      <w:tr w:rsidR="00E42262" w:rsidRPr="002D5B51" w14:paraId="5F10CAF4" w14:textId="541557D5" w:rsidTr="00511D6B">
        <w:trPr>
          <w:trHeight w:val="1417"/>
        </w:trPr>
        <w:tc>
          <w:tcPr>
            <w:tcW w:w="1408" w:type="dxa"/>
            <w:tcBorders>
              <w:top w:val="nil"/>
              <w:left w:val="single" w:sz="8" w:space="0" w:color="auto"/>
              <w:bottom w:val="single" w:sz="8" w:space="0" w:color="auto"/>
              <w:right w:val="single" w:sz="8" w:space="0" w:color="auto"/>
            </w:tcBorders>
            <w:shd w:val="clear" w:color="auto" w:fill="auto"/>
            <w:noWrap/>
            <w:hideMark/>
          </w:tcPr>
          <w:p w14:paraId="3A9FE42F" w14:textId="3BFFF4FF" w:rsidR="00E42262" w:rsidRPr="002D5B51" w:rsidRDefault="00E42262" w:rsidP="004E4621">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color w:val="000000"/>
                <w:sz w:val="20"/>
              </w:rPr>
              <w:t>L&amp;G Cash Fund</w:t>
            </w:r>
          </w:p>
        </w:tc>
        <w:tc>
          <w:tcPr>
            <w:tcW w:w="992" w:type="dxa"/>
            <w:tcBorders>
              <w:top w:val="nil"/>
              <w:left w:val="nil"/>
              <w:bottom w:val="single" w:sz="8" w:space="0" w:color="auto"/>
              <w:right w:val="single" w:sz="8" w:space="0" w:color="auto"/>
            </w:tcBorders>
            <w:shd w:val="clear" w:color="auto" w:fill="auto"/>
            <w:noWrap/>
          </w:tcPr>
          <w:p w14:paraId="2301A835" w14:textId="5E489EAD" w:rsidR="00E42262" w:rsidRPr="002D5B51" w:rsidRDefault="00E42262" w:rsidP="004E4621">
            <w:pPr>
              <w:suppressLineNumbers w:val="0"/>
              <w:tabs>
                <w:tab w:val="clear" w:pos="907"/>
                <w:tab w:val="clear" w:pos="9185"/>
              </w:tabs>
              <w:suppressAutoHyphens w:val="0"/>
              <w:spacing w:line="240" w:lineRule="auto"/>
              <w:jc w:val="center"/>
              <w:rPr>
                <w:rFonts w:ascii="Arial" w:hAnsi="Arial" w:cs="Arial"/>
                <w:color w:val="000000"/>
                <w:sz w:val="20"/>
              </w:rPr>
            </w:pPr>
            <w:r>
              <w:rPr>
                <w:rFonts w:ascii="Arial" w:hAnsi="Arial" w:cs="Arial"/>
                <w:color w:val="000000"/>
                <w:sz w:val="20"/>
              </w:rPr>
              <w:t>0.20</w:t>
            </w:r>
          </w:p>
        </w:tc>
        <w:tc>
          <w:tcPr>
            <w:tcW w:w="1418" w:type="dxa"/>
            <w:tcBorders>
              <w:top w:val="nil"/>
              <w:left w:val="nil"/>
              <w:bottom w:val="single" w:sz="8" w:space="0" w:color="auto"/>
              <w:right w:val="single" w:sz="8" w:space="0" w:color="auto"/>
            </w:tcBorders>
            <w:shd w:val="clear" w:color="auto" w:fill="auto"/>
            <w:hideMark/>
          </w:tcPr>
          <w:p w14:paraId="119EB786" w14:textId="77777777" w:rsidR="00E42262" w:rsidRPr="002D5B51" w:rsidRDefault="00E42262" w:rsidP="004E4621">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color w:val="000000"/>
                <w:sz w:val="20"/>
              </w:rPr>
              <w:t>Active</w:t>
            </w:r>
          </w:p>
        </w:tc>
        <w:tc>
          <w:tcPr>
            <w:tcW w:w="3402" w:type="dxa"/>
            <w:tcBorders>
              <w:top w:val="nil"/>
              <w:left w:val="nil"/>
              <w:bottom w:val="single" w:sz="8" w:space="0" w:color="auto"/>
              <w:right w:val="single" w:sz="8" w:space="0" w:color="auto"/>
            </w:tcBorders>
            <w:shd w:val="clear" w:color="auto" w:fill="auto"/>
            <w:hideMark/>
          </w:tcPr>
          <w:p w14:paraId="10F340FC" w14:textId="01FCFDAF" w:rsidR="00E42262" w:rsidRPr="002D5B51" w:rsidRDefault="00E42262" w:rsidP="00D2021A">
            <w:pPr>
              <w:suppressLineNumbers w:val="0"/>
              <w:tabs>
                <w:tab w:val="clear" w:pos="907"/>
                <w:tab w:val="clear" w:pos="9185"/>
              </w:tabs>
              <w:suppressAutoHyphens w:val="0"/>
              <w:spacing w:after="120" w:line="240" w:lineRule="auto"/>
              <w:jc w:val="left"/>
              <w:rPr>
                <w:rFonts w:ascii="Arial" w:hAnsi="Arial" w:cs="Arial"/>
                <w:color w:val="000000"/>
                <w:sz w:val="20"/>
              </w:rPr>
            </w:pPr>
            <w:r>
              <w:rPr>
                <w:rFonts w:ascii="Arial" w:hAnsi="Arial" w:cs="Arial"/>
                <w:color w:val="000000"/>
                <w:sz w:val="20"/>
              </w:rPr>
              <w:t xml:space="preserve">The fund aims to provide capital protection with growth at short term interest rates. It invests in short term money market instruments and cash </w:t>
            </w:r>
            <w:proofErr w:type="gramStart"/>
            <w:r>
              <w:rPr>
                <w:rFonts w:ascii="Arial" w:hAnsi="Arial" w:cs="Arial"/>
                <w:color w:val="000000"/>
                <w:sz w:val="20"/>
              </w:rPr>
              <w:t>deposits</w:t>
            </w:r>
            <w:proofErr w:type="gramEnd"/>
            <w:r>
              <w:rPr>
                <w:rFonts w:ascii="Arial" w:hAnsi="Arial" w:cs="Arial"/>
                <w:color w:val="000000"/>
                <w:sz w:val="20"/>
              </w:rPr>
              <w:t xml:space="preserve"> but the unit price is not guaranteed and may go down as well as up.</w:t>
            </w:r>
          </w:p>
        </w:tc>
        <w:tc>
          <w:tcPr>
            <w:tcW w:w="2551" w:type="dxa"/>
            <w:tcBorders>
              <w:top w:val="nil"/>
              <w:left w:val="nil"/>
              <w:bottom w:val="single" w:sz="8" w:space="0" w:color="auto"/>
              <w:right w:val="single" w:sz="8" w:space="0" w:color="auto"/>
            </w:tcBorders>
          </w:tcPr>
          <w:p w14:paraId="51D7622A" w14:textId="09D18DCA" w:rsidR="00E42262" w:rsidRDefault="00693671" w:rsidP="004E4621">
            <w:pPr>
              <w:suppressLineNumbers w:val="0"/>
              <w:tabs>
                <w:tab w:val="clear" w:pos="907"/>
                <w:tab w:val="clear" w:pos="9185"/>
              </w:tabs>
              <w:suppressAutoHyphens w:val="0"/>
              <w:spacing w:line="240" w:lineRule="auto"/>
              <w:jc w:val="left"/>
              <w:rPr>
                <w:rFonts w:ascii="Arial" w:hAnsi="Arial" w:cs="Arial"/>
                <w:color w:val="000000"/>
                <w:sz w:val="20"/>
              </w:rPr>
            </w:pPr>
            <w:r>
              <w:rPr>
                <w:rFonts w:ascii="Arial" w:hAnsi="Arial" w:cs="Arial"/>
                <w:color w:val="000000"/>
                <w:sz w:val="20"/>
              </w:rPr>
              <w:t xml:space="preserve">100% </w:t>
            </w:r>
            <w:proofErr w:type="gramStart"/>
            <w:r>
              <w:rPr>
                <w:rFonts w:ascii="Arial" w:hAnsi="Arial" w:cs="Arial"/>
                <w:color w:val="000000"/>
                <w:sz w:val="20"/>
              </w:rPr>
              <w:t>7 day</w:t>
            </w:r>
            <w:proofErr w:type="gramEnd"/>
            <w:r>
              <w:rPr>
                <w:rFonts w:ascii="Arial" w:hAnsi="Arial" w:cs="Arial"/>
                <w:color w:val="000000"/>
                <w:sz w:val="20"/>
              </w:rPr>
              <w:t xml:space="preserve"> GBP LIBID</w:t>
            </w:r>
          </w:p>
        </w:tc>
      </w:tr>
    </w:tbl>
    <w:p w14:paraId="70F08BBA" w14:textId="77777777" w:rsidR="004E4621" w:rsidRDefault="004E4621" w:rsidP="002766B1"/>
    <w:p w14:paraId="6A64D2E6" w14:textId="77777777" w:rsidR="00725068" w:rsidRPr="00AE7D45" w:rsidRDefault="00725068" w:rsidP="002766B1"/>
    <w:sectPr w:rsidR="00725068" w:rsidRPr="00AE7D45" w:rsidSect="0091380F">
      <w:headerReference w:type="even" r:id="rId13"/>
      <w:headerReference w:type="default" r:id="rId14"/>
      <w:footerReference w:type="even" r:id="rId15"/>
      <w:footerReference w:type="default" r:id="rId16"/>
      <w:headerReference w:type="first" r:id="rId17"/>
      <w:footerReference w:type="first" r:id="rId18"/>
      <w:pgSz w:w="11907" w:h="16840" w:code="9"/>
      <w:pgMar w:top="1701" w:right="1134" w:bottom="1418" w:left="1418" w:header="680" w:footer="919" w:gutter="5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FD8E0" w14:textId="77777777" w:rsidR="007147A1" w:rsidRDefault="007147A1">
      <w:pPr>
        <w:spacing w:line="240" w:lineRule="auto"/>
      </w:pPr>
      <w:r>
        <w:separator/>
      </w:r>
    </w:p>
  </w:endnote>
  <w:endnote w:type="continuationSeparator" w:id="0">
    <w:p w14:paraId="4FFFD8E1" w14:textId="77777777" w:rsidR="007147A1" w:rsidRDefault="007147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6BBA2" w14:textId="77777777" w:rsidR="00C11EF2" w:rsidRDefault="00C11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FD8E4" w14:textId="77777777" w:rsidR="007147A1" w:rsidRPr="009E0E1D" w:rsidRDefault="007147A1">
    <w:pPr>
      <w:pStyle w:val="Footer"/>
      <w:framePr w:wrap="around" w:vAnchor="text" w:hAnchor="margin" w:xAlign="center" w:y="1"/>
      <w:rPr>
        <w:rStyle w:val="PageNumber"/>
        <w:rFonts w:ascii="Arial" w:hAnsi="Arial" w:cs="Arial"/>
        <w:sz w:val="22"/>
      </w:rPr>
    </w:pPr>
    <w:r w:rsidRPr="009E0E1D">
      <w:rPr>
        <w:rStyle w:val="PageNumber"/>
        <w:rFonts w:ascii="Arial" w:hAnsi="Arial" w:cs="Arial"/>
        <w:sz w:val="22"/>
      </w:rPr>
      <w:fldChar w:fldCharType="begin"/>
    </w:r>
    <w:r w:rsidRPr="009E0E1D">
      <w:rPr>
        <w:rStyle w:val="PageNumber"/>
        <w:rFonts w:ascii="Arial" w:hAnsi="Arial" w:cs="Arial"/>
        <w:sz w:val="22"/>
      </w:rPr>
      <w:instrText xml:space="preserve">PAGE  </w:instrText>
    </w:r>
    <w:r w:rsidRPr="009E0E1D">
      <w:rPr>
        <w:rStyle w:val="PageNumber"/>
        <w:rFonts w:ascii="Arial" w:hAnsi="Arial" w:cs="Arial"/>
        <w:sz w:val="22"/>
      </w:rPr>
      <w:fldChar w:fldCharType="separate"/>
    </w:r>
    <w:r w:rsidR="008A6B77">
      <w:rPr>
        <w:rStyle w:val="PageNumber"/>
        <w:rFonts w:ascii="Arial" w:hAnsi="Arial" w:cs="Arial"/>
        <w:sz w:val="22"/>
      </w:rPr>
      <w:t>15</w:t>
    </w:r>
    <w:r w:rsidRPr="009E0E1D">
      <w:rPr>
        <w:rStyle w:val="PageNumber"/>
        <w:rFonts w:ascii="Arial" w:hAnsi="Arial" w:cs="Arial"/>
        <w:sz w:val="22"/>
      </w:rPr>
      <w:fldChar w:fldCharType="end"/>
    </w:r>
  </w:p>
  <w:p w14:paraId="4FFFD8E5" w14:textId="77777777" w:rsidR="007147A1" w:rsidRDefault="007147A1" w:rsidP="008F751D">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09F0D" w14:textId="77777777" w:rsidR="00C11EF2" w:rsidRDefault="00C11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FD8DE" w14:textId="77777777" w:rsidR="007147A1" w:rsidRDefault="007147A1">
      <w:pPr>
        <w:spacing w:line="240" w:lineRule="auto"/>
      </w:pPr>
      <w:r>
        <w:separator/>
      </w:r>
    </w:p>
  </w:footnote>
  <w:footnote w:type="continuationSeparator" w:id="0">
    <w:p w14:paraId="4FFFD8DF" w14:textId="77777777" w:rsidR="007147A1" w:rsidRDefault="007147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198C3" w14:textId="77777777" w:rsidR="00C11EF2" w:rsidRDefault="00C11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9D55" w14:textId="77777777" w:rsidR="00C11EF2" w:rsidRDefault="00C11E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D87C" w14:textId="77777777" w:rsidR="00C11EF2" w:rsidRDefault="00C11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D3699DA"/>
    <w:lvl w:ilvl="0">
      <w:start w:val="1"/>
      <w:numFmt w:val="decimal"/>
      <w:pStyle w:val="Heading1"/>
      <w:lvlText w:val="%1"/>
      <w:lvlJc w:val="left"/>
      <w:pPr>
        <w:tabs>
          <w:tab w:val="num" w:pos="4265"/>
        </w:tabs>
        <w:ind w:left="3545" w:firstLine="0"/>
      </w:pPr>
      <w:rPr>
        <w:b w:val="0"/>
        <w:i w:val="0"/>
      </w:rPr>
    </w:lvl>
    <w:lvl w:ilvl="1">
      <w:start w:val="1"/>
      <w:numFmt w:val="decimal"/>
      <w:pStyle w:val="Heading2"/>
      <w:isLgl/>
      <w:lvlText w:val="%1.%2"/>
      <w:lvlJc w:val="left"/>
      <w:pPr>
        <w:tabs>
          <w:tab w:val="num" w:pos="4625"/>
        </w:tabs>
        <w:ind w:left="4452" w:hanging="907"/>
      </w:pPr>
      <w:rPr>
        <w:b w:val="0"/>
        <w:i w:val="0"/>
      </w:rPr>
    </w:lvl>
    <w:lvl w:ilvl="2">
      <w:start w:val="1"/>
      <w:numFmt w:val="upperLetter"/>
      <w:pStyle w:val="Heading3"/>
      <w:lvlText w:val="%3"/>
      <w:lvlJc w:val="left"/>
      <w:pPr>
        <w:tabs>
          <w:tab w:val="num" w:pos="4625"/>
        </w:tabs>
        <w:ind w:left="3545" w:firstLine="0"/>
      </w:pPr>
      <w:rPr>
        <w:b w:val="0"/>
      </w:rPr>
    </w:lvl>
    <w:lvl w:ilvl="3">
      <w:start w:val="1"/>
      <w:numFmt w:val="decimal"/>
      <w:pStyle w:val="Heading4"/>
      <w:lvlText w:val="%4"/>
      <w:lvlJc w:val="left"/>
      <w:pPr>
        <w:tabs>
          <w:tab w:val="num" w:pos="4452"/>
        </w:tabs>
        <w:ind w:left="4452" w:hanging="907"/>
      </w:pPr>
      <w:rPr>
        <w:b w:val="0"/>
      </w:rPr>
    </w:lvl>
    <w:lvl w:ilvl="4">
      <w:start w:val="1"/>
      <w:numFmt w:val="lowerLetter"/>
      <w:pStyle w:val="Heading5"/>
      <w:lvlText w:val="%5."/>
      <w:lvlJc w:val="left"/>
      <w:pPr>
        <w:tabs>
          <w:tab w:val="num" w:pos="5172"/>
        </w:tabs>
        <w:ind w:left="4849" w:hanging="397"/>
      </w:pPr>
      <w:rPr>
        <w:b/>
      </w:rPr>
    </w:lvl>
    <w:lvl w:ilvl="5">
      <w:start w:val="1"/>
      <w:numFmt w:val="decimal"/>
      <w:pStyle w:val="Heading6"/>
      <w:lvlText w:val="%6."/>
      <w:lvlJc w:val="left"/>
      <w:pPr>
        <w:tabs>
          <w:tab w:val="num" w:pos="5172"/>
        </w:tabs>
        <w:ind w:left="4849" w:hanging="397"/>
      </w:pPr>
      <w:rPr>
        <w:b/>
      </w:rPr>
    </w:lvl>
    <w:lvl w:ilvl="6">
      <w:start w:val="1"/>
      <w:numFmt w:val="lowerLetter"/>
      <w:pStyle w:val="Heading7"/>
      <w:lvlText w:val="%7."/>
      <w:lvlJc w:val="left"/>
      <w:pPr>
        <w:tabs>
          <w:tab w:val="num" w:pos="5569"/>
        </w:tabs>
        <w:ind w:left="5189" w:hanging="340"/>
      </w:pPr>
      <w:rPr>
        <w:b/>
      </w:rPr>
    </w:lvl>
    <w:lvl w:ilvl="7">
      <w:start w:val="1"/>
      <w:numFmt w:val="bullet"/>
      <w:pStyle w:val="Heading8"/>
      <w:lvlText w:val=""/>
      <w:lvlJc w:val="left"/>
      <w:pPr>
        <w:tabs>
          <w:tab w:val="num" w:pos="4849"/>
        </w:tabs>
        <w:ind w:left="4849" w:hanging="397"/>
      </w:pPr>
      <w:rPr>
        <w:rFonts w:ascii="Wingdings" w:hAnsi="Wingdings" w:hint="default"/>
        <w:sz w:val="16"/>
      </w:rPr>
    </w:lvl>
    <w:lvl w:ilvl="8">
      <w:start w:val="1"/>
      <w:numFmt w:val="bullet"/>
      <w:pStyle w:val="Heading9"/>
      <w:lvlText w:val=""/>
      <w:lvlJc w:val="left"/>
      <w:pPr>
        <w:tabs>
          <w:tab w:val="num" w:pos="5246"/>
        </w:tabs>
        <w:ind w:left="5246" w:hanging="397"/>
      </w:pPr>
      <w:rPr>
        <w:rFonts w:ascii="Wingdings" w:hAnsi="Wingdings" w:hint="default"/>
        <w:b w:val="0"/>
        <w:i w:val="0"/>
        <w:sz w:val="12"/>
      </w:rPr>
    </w:lvl>
  </w:abstractNum>
  <w:abstractNum w:abstractNumId="1" w15:restartNumberingAfterBreak="0">
    <w:nsid w:val="0089355F"/>
    <w:multiLevelType w:val="multilevel"/>
    <w:tmpl w:val="0ECC198C"/>
    <w:lvl w:ilvl="0">
      <w:start w:val="1"/>
      <w:numFmt w:val="decimal"/>
      <w:pStyle w:val="WW-SectionHeading"/>
      <w:suff w:val="nothing"/>
      <w:lvlText w:val="Section %1:  "/>
      <w:lvlJc w:val="left"/>
      <w:rPr>
        <w:rFonts w:ascii="Arial" w:hAnsi="Arial" w:cs="Arial" w:hint="default"/>
        <w:b w:val="0"/>
        <w:bCs w:val="0"/>
        <w:i w:val="0"/>
        <w:iCs w:val="0"/>
        <w:color w:val="0B2265"/>
        <w:sz w:val="48"/>
        <w:szCs w:val="48"/>
      </w:rPr>
    </w:lvl>
    <w:lvl w:ilvl="1">
      <w:start w:val="1"/>
      <w:numFmt w:val="decimal"/>
      <w:pStyle w:val="WW-NumberedParagraph1"/>
      <w:isLgl/>
      <w:lvlText w:val="%1.%2"/>
      <w:lvlJc w:val="left"/>
      <w:pPr>
        <w:tabs>
          <w:tab w:val="num" w:pos="0"/>
        </w:tabs>
        <w:ind w:left="720" w:hanging="720"/>
      </w:pPr>
      <w:rPr>
        <w:rFonts w:ascii="Arial" w:hAnsi="Arial" w:cs="Arial" w:hint="default"/>
        <w:sz w:val="20"/>
        <w:szCs w:val="20"/>
      </w:rPr>
    </w:lvl>
    <w:lvl w:ilvl="2">
      <w:start w:val="1"/>
      <w:numFmt w:val="decimal"/>
      <w:pStyle w:val="WW-NumberedParagraph2"/>
      <w:isLgl/>
      <w:lvlText w:val="%1.%2.%3"/>
      <w:lvlJc w:val="left"/>
      <w:pPr>
        <w:tabs>
          <w:tab w:val="num" w:pos="0"/>
        </w:tabs>
        <w:ind w:left="1440" w:hanging="720"/>
      </w:pPr>
      <w:rPr>
        <w:rFonts w:hint="default"/>
        <w:sz w:val="20"/>
        <w:szCs w:val="20"/>
      </w:rPr>
    </w:lvl>
    <w:lvl w:ilvl="3">
      <w:start w:val="1"/>
      <w:numFmt w:val="decimal"/>
      <w:lvlRestart w:val="0"/>
      <w:pStyle w:val="WW-ClientQuestion"/>
      <w:lvlText w:val="%4."/>
      <w:lvlJc w:val="left"/>
      <w:pPr>
        <w:tabs>
          <w:tab w:val="num" w:pos="0"/>
        </w:tabs>
        <w:ind w:left="360" w:hanging="360"/>
      </w:pPr>
      <w:rPr>
        <w:rFonts w:hint="default"/>
      </w:rPr>
    </w:lvl>
    <w:lvl w:ilvl="4">
      <w:start w:val="1"/>
      <w:numFmt w:val="bullet"/>
      <w:lvlRestart w:val="0"/>
      <w:pStyle w:val="WW-BulletA"/>
      <w:lvlText w:val=""/>
      <w:lvlJc w:val="left"/>
      <w:pPr>
        <w:tabs>
          <w:tab w:val="num" w:pos="360"/>
        </w:tabs>
        <w:ind w:left="1080" w:hanging="360"/>
      </w:pPr>
      <w:rPr>
        <w:rFonts w:ascii="Wingdings" w:hAnsi="Wingdings" w:cs="Wingdings" w:hint="default"/>
        <w:color w:val="0B2265"/>
        <w:sz w:val="18"/>
        <w:szCs w:val="18"/>
      </w:rPr>
    </w:lvl>
    <w:lvl w:ilvl="5">
      <w:start w:val="1"/>
      <w:numFmt w:val="bullet"/>
      <w:lvlRestart w:val="0"/>
      <w:pStyle w:val="WW-Bullet1"/>
      <w:lvlText w:val=""/>
      <w:lvlJc w:val="left"/>
      <w:pPr>
        <w:tabs>
          <w:tab w:val="num" w:pos="0"/>
        </w:tabs>
        <w:ind w:left="360" w:hanging="360"/>
      </w:pPr>
      <w:rPr>
        <w:rFonts w:ascii="Wingdings" w:hAnsi="Wingdings" w:cs="Wingdings" w:hint="default"/>
        <w:color w:val="0B2265"/>
        <w:sz w:val="18"/>
        <w:szCs w:val="18"/>
      </w:rPr>
    </w:lvl>
    <w:lvl w:ilvl="6">
      <w:start w:val="1"/>
      <w:numFmt w:val="bullet"/>
      <w:lvlRestart w:val="0"/>
      <w:pStyle w:val="WW-Bullet2"/>
      <w:lvlText w:val="–"/>
      <w:lvlJc w:val="left"/>
      <w:pPr>
        <w:tabs>
          <w:tab w:val="num" w:pos="-31680"/>
        </w:tabs>
        <w:ind w:left="720" w:hanging="360"/>
      </w:pPr>
      <w:rPr>
        <w:rFonts w:ascii="Times New Roman" w:hAnsi="Times New Roman" w:cs="Times New Roman" w:hint="default"/>
      </w:rPr>
    </w:lvl>
    <w:lvl w:ilvl="7">
      <w:start w:val="1"/>
      <w:numFmt w:val="bullet"/>
      <w:lvlRestart w:val="0"/>
      <w:pStyle w:val="WW-Bullet3"/>
      <w:lvlText w:val=""/>
      <w:lvlJc w:val="left"/>
      <w:pPr>
        <w:tabs>
          <w:tab w:val="num" w:pos="-31680"/>
        </w:tabs>
        <w:ind w:left="1080" w:hanging="360"/>
      </w:pPr>
      <w:rPr>
        <w:rFonts w:ascii="Wingdings" w:hAnsi="Wingdings" w:cs="Wingdings" w:hint="default"/>
        <w:color w:val="0B2265"/>
        <w:sz w:val="18"/>
        <w:szCs w:val="18"/>
      </w:rPr>
    </w:lvl>
    <w:lvl w:ilvl="8">
      <w:start w:val="1"/>
      <w:numFmt w:val="bullet"/>
      <w:lvlRestart w:val="0"/>
      <w:pStyle w:val="WW-Bullet4"/>
      <w:lvlText w:val="–"/>
      <w:lvlJc w:val="left"/>
      <w:pPr>
        <w:tabs>
          <w:tab w:val="num" w:pos="-31680"/>
        </w:tabs>
        <w:ind w:left="1440" w:hanging="360"/>
      </w:pPr>
      <w:rPr>
        <w:rFonts w:ascii="Times New Roman" w:hAnsi="Times New Roman" w:cs="Times New Roman" w:hint="default"/>
      </w:rPr>
    </w:lvl>
  </w:abstractNum>
  <w:abstractNum w:abstractNumId="2" w15:restartNumberingAfterBreak="0">
    <w:nsid w:val="08E44C58"/>
    <w:multiLevelType w:val="singleLevel"/>
    <w:tmpl w:val="81646008"/>
    <w:lvl w:ilvl="0">
      <w:numFmt w:val="decimal"/>
      <w:pStyle w:val="ListBullet3"/>
      <w:lvlText w:val="*"/>
      <w:lvlJc w:val="left"/>
    </w:lvl>
  </w:abstractNum>
  <w:abstractNum w:abstractNumId="3" w15:restartNumberingAfterBreak="0">
    <w:nsid w:val="0B240B6F"/>
    <w:multiLevelType w:val="singleLevel"/>
    <w:tmpl w:val="17AA441A"/>
    <w:lvl w:ilvl="0">
      <w:start w:val="1"/>
      <w:numFmt w:val="bullet"/>
      <w:pStyle w:val="ListBullet2"/>
      <w:lvlText w:val=""/>
      <w:lvlJc w:val="left"/>
      <w:pPr>
        <w:tabs>
          <w:tab w:val="num" w:pos="1438"/>
        </w:tabs>
        <w:ind w:left="1078" w:firstLine="0"/>
      </w:pPr>
      <w:rPr>
        <w:rFonts w:ascii="Wingdings" w:hAnsi="Wingdings" w:hint="default"/>
        <w:sz w:val="12"/>
      </w:rPr>
    </w:lvl>
  </w:abstractNum>
  <w:abstractNum w:abstractNumId="4" w15:restartNumberingAfterBreak="0">
    <w:nsid w:val="0E4E7435"/>
    <w:multiLevelType w:val="hybridMultilevel"/>
    <w:tmpl w:val="018E1834"/>
    <w:lvl w:ilvl="0" w:tplc="08090001">
      <w:start w:val="1"/>
      <w:numFmt w:val="bullet"/>
      <w:lvlText w:val=""/>
      <w:lvlJc w:val="left"/>
      <w:pPr>
        <w:ind w:left="1627" w:hanging="360"/>
      </w:pPr>
      <w:rPr>
        <w:rFonts w:ascii="Symbol" w:hAnsi="Symbol"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15494366"/>
    <w:multiLevelType w:val="singleLevel"/>
    <w:tmpl w:val="6FB889EE"/>
    <w:lvl w:ilvl="0">
      <w:start w:val="1"/>
      <w:numFmt w:val="bullet"/>
      <w:pStyle w:val="ListBullet"/>
      <w:lvlText w:val=""/>
      <w:lvlJc w:val="left"/>
      <w:pPr>
        <w:tabs>
          <w:tab w:val="num" w:pos="680"/>
        </w:tabs>
        <w:ind w:left="680" w:hanging="680"/>
      </w:pPr>
      <w:rPr>
        <w:rFonts w:ascii="Wingdings" w:hAnsi="Wingdings" w:hint="default"/>
        <w:sz w:val="16"/>
      </w:rPr>
    </w:lvl>
  </w:abstractNum>
  <w:abstractNum w:abstractNumId="6" w15:restartNumberingAfterBreak="0">
    <w:nsid w:val="1F5C4472"/>
    <w:multiLevelType w:val="singleLevel"/>
    <w:tmpl w:val="F8187020"/>
    <w:lvl w:ilvl="0">
      <w:numFmt w:val="decimal"/>
      <w:pStyle w:val="ListBullet5"/>
      <w:lvlText w:val="*"/>
      <w:lvlJc w:val="left"/>
    </w:lvl>
  </w:abstractNum>
  <w:abstractNum w:abstractNumId="7" w15:restartNumberingAfterBreak="0">
    <w:nsid w:val="1FDB5831"/>
    <w:multiLevelType w:val="multilevel"/>
    <w:tmpl w:val="A71A118E"/>
    <w:lvl w:ilvl="0">
      <w:start w:val="1"/>
      <w:numFmt w:val="decimal"/>
      <w:lvlText w:val="1.%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6E0331"/>
    <w:multiLevelType w:val="hybridMultilevel"/>
    <w:tmpl w:val="45A05992"/>
    <w:lvl w:ilvl="0" w:tplc="08090001">
      <w:start w:val="1"/>
      <w:numFmt w:val="bullet"/>
      <w:lvlText w:val=""/>
      <w:lvlJc w:val="left"/>
      <w:pPr>
        <w:ind w:left="1701" w:hanging="360"/>
      </w:pPr>
      <w:rPr>
        <w:rFonts w:ascii="Symbol" w:hAnsi="Symbol"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9" w15:restartNumberingAfterBreak="0">
    <w:nsid w:val="36C025D6"/>
    <w:multiLevelType w:val="singleLevel"/>
    <w:tmpl w:val="9DFAEE20"/>
    <w:lvl w:ilvl="0">
      <w:numFmt w:val="decimal"/>
      <w:pStyle w:val="ListBullet4"/>
      <w:lvlText w:val="*"/>
      <w:lvlJc w:val="left"/>
    </w:lvl>
  </w:abstractNum>
  <w:abstractNum w:abstractNumId="10" w15:restartNumberingAfterBreak="0">
    <w:nsid w:val="3CF2433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38551C4"/>
    <w:multiLevelType w:val="hybridMultilevel"/>
    <w:tmpl w:val="1E38A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8443647"/>
    <w:multiLevelType w:val="hybridMultilevel"/>
    <w:tmpl w:val="F51CE352"/>
    <w:lvl w:ilvl="0" w:tplc="6882B53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DC23F95"/>
    <w:multiLevelType w:val="hybridMultilevel"/>
    <w:tmpl w:val="BC00F88A"/>
    <w:lvl w:ilvl="0" w:tplc="73923B4C">
      <w:start w:val="1"/>
      <w:numFmt w:val="decimal"/>
      <w:lvlText w:val="1.%1"/>
      <w:lvlJc w:val="left"/>
      <w:pPr>
        <w:tabs>
          <w:tab w:val="num" w:pos="851"/>
        </w:tabs>
        <w:ind w:left="851" w:hanging="851"/>
      </w:pPr>
      <w:rPr>
        <w:rFonts w:hint="default"/>
        <w:sz w:val="22"/>
        <w:szCs w:val="22"/>
      </w:rPr>
    </w:lvl>
    <w:lvl w:ilvl="1" w:tplc="37F05E36">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lvl w:ilvl="0">
        <w:start w:val="1"/>
        <w:numFmt w:val="bullet"/>
        <w:pStyle w:val="ListBullet3"/>
        <w:lvlText w:val=""/>
        <w:legacy w:legacy="1" w:legacySpace="0" w:legacyIndent="283"/>
        <w:lvlJc w:val="left"/>
        <w:pPr>
          <w:ind w:left="963" w:hanging="283"/>
        </w:pPr>
        <w:rPr>
          <w:rFonts w:ascii="Wingdings" w:hAnsi="Wingdings" w:hint="default"/>
          <w:sz w:val="30"/>
        </w:rPr>
      </w:lvl>
    </w:lvlOverride>
  </w:num>
  <w:num w:numId="2">
    <w:abstractNumId w:val="9"/>
    <w:lvlOverride w:ilvl="0">
      <w:lvl w:ilvl="0">
        <w:start w:val="1"/>
        <w:numFmt w:val="bullet"/>
        <w:pStyle w:val="ListBullet4"/>
        <w:lvlText w:val=""/>
        <w:legacy w:legacy="1" w:legacySpace="0" w:legacyIndent="0"/>
        <w:lvlJc w:val="left"/>
        <w:pPr>
          <w:ind w:left="680" w:firstLine="0"/>
        </w:pPr>
        <w:rPr>
          <w:rFonts w:ascii="Wingdings" w:hAnsi="Wingdings" w:hint="default"/>
          <w:sz w:val="30"/>
        </w:rPr>
      </w:lvl>
    </w:lvlOverride>
  </w:num>
  <w:num w:numId="3">
    <w:abstractNumId w:val="6"/>
    <w:lvlOverride w:ilvl="0">
      <w:lvl w:ilvl="0">
        <w:start w:val="1"/>
        <w:numFmt w:val="bullet"/>
        <w:pStyle w:val="ListBullet5"/>
        <w:lvlText w:val=""/>
        <w:legacy w:legacy="1" w:legacySpace="0" w:legacyIndent="0"/>
        <w:lvlJc w:val="left"/>
        <w:pPr>
          <w:ind w:left="680" w:firstLine="0"/>
        </w:pPr>
        <w:rPr>
          <w:rFonts w:ascii="Wingdings" w:hAnsi="Wingdings" w:hint="default"/>
          <w:sz w:val="30"/>
        </w:rPr>
      </w:lvl>
    </w:lvlOverride>
  </w:num>
  <w:num w:numId="4">
    <w:abstractNumId w:val="5"/>
  </w:num>
  <w:num w:numId="5">
    <w:abstractNumId w:val="3"/>
  </w:num>
  <w:num w:numId="6">
    <w:abstractNumId w:val="0"/>
    <w:lvlOverride w:ilvl="0">
      <w:lvl w:ilvl="0">
        <w:start w:val="1"/>
        <w:numFmt w:val="decimal"/>
        <w:pStyle w:val="Heading1"/>
        <w:lvlText w:val="%1."/>
        <w:lvlJc w:val="left"/>
        <w:pPr>
          <w:ind w:left="1494" w:hanging="360"/>
        </w:pPr>
        <w:rPr>
          <w:rFonts w:ascii="Arial" w:hAnsi="Arial" w:cs="Arial" w:hint="default"/>
        </w:rPr>
      </w:lvl>
    </w:lvlOverride>
    <w:lvlOverride w:ilvl="1">
      <w:lvl w:ilvl="1">
        <w:start w:val="1"/>
        <w:numFmt w:val="decimal"/>
        <w:pStyle w:val="Heading2"/>
        <w:lvlText w:val="%1.%2."/>
        <w:lvlJc w:val="left"/>
        <w:pPr>
          <w:ind w:left="1141" w:hanging="432"/>
        </w:pPr>
        <w:rPr>
          <w:b w:val="0"/>
          <w:color w:val="auto"/>
        </w:rPr>
      </w:lvl>
    </w:lvlOverride>
    <w:lvlOverride w:ilvl="2">
      <w:lvl w:ilvl="2">
        <w:start w:val="1"/>
        <w:numFmt w:val="decimal"/>
        <w:pStyle w:val="Heading3"/>
        <w:lvlText w:val="%1.%2.%3."/>
        <w:lvlJc w:val="left"/>
        <w:pPr>
          <w:ind w:left="2358" w:hanging="504"/>
        </w:pPr>
      </w:lvl>
    </w:lvlOverride>
    <w:lvlOverride w:ilvl="3">
      <w:lvl w:ilvl="3">
        <w:start w:val="1"/>
        <w:numFmt w:val="decimal"/>
        <w:pStyle w:val="Heading4"/>
        <w:lvlText w:val="%1.%2.%3.%4."/>
        <w:lvlJc w:val="left"/>
        <w:pPr>
          <w:ind w:left="2862" w:hanging="648"/>
        </w:pPr>
      </w:lvl>
    </w:lvlOverride>
    <w:lvlOverride w:ilvl="4">
      <w:lvl w:ilvl="4">
        <w:start w:val="1"/>
        <w:numFmt w:val="decimal"/>
        <w:pStyle w:val="Heading5"/>
        <w:lvlText w:val="%1.%2.%3.%4.%5."/>
        <w:lvlJc w:val="left"/>
        <w:pPr>
          <w:ind w:left="3366" w:hanging="792"/>
        </w:pPr>
      </w:lvl>
    </w:lvlOverride>
    <w:lvlOverride w:ilvl="5">
      <w:lvl w:ilvl="5">
        <w:start w:val="1"/>
        <w:numFmt w:val="decimal"/>
        <w:pStyle w:val="Heading6"/>
        <w:lvlText w:val="%1.%2.%3.%4.%5.%6."/>
        <w:lvlJc w:val="left"/>
        <w:pPr>
          <w:ind w:left="3870" w:hanging="936"/>
        </w:pPr>
      </w:lvl>
    </w:lvlOverride>
    <w:lvlOverride w:ilvl="6">
      <w:lvl w:ilvl="6">
        <w:start w:val="1"/>
        <w:numFmt w:val="decimal"/>
        <w:pStyle w:val="Heading7"/>
        <w:lvlText w:val="%1.%2.%3.%4.%5.%6.%7."/>
        <w:lvlJc w:val="left"/>
        <w:pPr>
          <w:ind w:left="4374" w:hanging="1080"/>
        </w:pPr>
      </w:lvl>
    </w:lvlOverride>
    <w:lvlOverride w:ilvl="7">
      <w:lvl w:ilvl="7">
        <w:start w:val="1"/>
        <w:numFmt w:val="decimal"/>
        <w:pStyle w:val="Heading8"/>
        <w:lvlText w:val="%1.%2.%3.%4.%5.%6.%7.%8."/>
        <w:lvlJc w:val="left"/>
        <w:pPr>
          <w:ind w:left="4878" w:hanging="1224"/>
        </w:pPr>
      </w:lvl>
    </w:lvlOverride>
    <w:lvlOverride w:ilvl="8">
      <w:lvl w:ilvl="8">
        <w:start w:val="1"/>
        <w:numFmt w:val="decimal"/>
        <w:pStyle w:val="Heading9"/>
        <w:lvlText w:val="%1.%2.%3.%4.%5.%6.%7.%8.%9."/>
        <w:lvlJc w:val="left"/>
        <w:pPr>
          <w:ind w:left="5454" w:hanging="1440"/>
        </w:pPr>
      </w:lvl>
    </w:lvlOverride>
  </w:num>
  <w:num w:numId="7">
    <w:abstractNumId w:val="12"/>
  </w:num>
  <w:num w:numId="8">
    <w:abstractNumId w:val="13"/>
  </w:num>
  <w:num w:numId="9">
    <w:abstractNumId w:val="1"/>
  </w:num>
  <w:num w:numId="10">
    <w:abstractNumId w:val="4"/>
  </w:num>
  <w:num w:numId="11">
    <w:abstractNumId w:val="10"/>
  </w:num>
  <w:num w:numId="12">
    <w:abstractNumId w:val="11"/>
  </w:num>
  <w:num w:numId="13">
    <w:abstractNumId w:val="7"/>
  </w:num>
  <w:num w:numId="14">
    <w:abstractNumId w:val="0"/>
    <w:lvlOverride w:ilvl="0">
      <w:lvl w:ilvl="0">
        <w:start w:val="1"/>
        <w:numFmt w:val="decimal"/>
        <w:pStyle w:val="Heading1"/>
        <w:lvlText w:val="%1."/>
        <w:lvlJc w:val="left"/>
        <w:pPr>
          <w:ind w:left="1494" w:hanging="360"/>
        </w:pPr>
        <w:rPr>
          <w:rFonts w:ascii="Arial" w:hAnsi="Arial" w:cs="Arial" w:hint="default"/>
        </w:rPr>
      </w:lvl>
    </w:lvlOverride>
    <w:lvlOverride w:ilvl="1">
      <w:lvl w:ilvl="1">
        <w:start w:val="1"/>
        <w:numFmt w:val="decimal"/>
        <w:pStyle w:val="Heading2"/>
        <w:lvlText w:val="%1.%2."/>
        <w:lvlJc w:val="left"/>
        <w:pPr>
          <w:ind w:left="1141" w:hanging="432"/>
        </w:pPr>
        <w:rPr>
          <w:b w:val="0"/>
          <w:color w:val="auto"/>
        </w:rPr>
      </w:lvl>
    </w:lvlOverride>
    <w:lvlOverride w:ilvl="2">
      <w:lvl w:ilvl="2">
        <w:start w:val="1"/>
        <w:numFmt w:val="decimal"/>
        <w:pStyle w:val="Heading3"/>
        <w:lvlText w:val="%1.%2.%3."/>
        <w:lvlJc w:val="left"/>
        <w:pPr>
          <w:ind w:left="2358" w:hanging="504"/>
        </w:pPr>
      </w:lvl>
    </w:lvlOverride>
    <w:lvlOverride w:ilvl="3">
      <w:lvl w:ilvl="3">
        <w:start w:val="1"/>
        <w:numFmt w:val="decimal"/>
        <w:pStyle w:val="Heading4"/>
        <w:lvlText w:val="%1.%2.%3.%4."/>
        <w:lvlJc w:val="left"/>
        <w:pPr>
          <w:ind w:left="2862" w:hanging="648"/>
        </w:pPr>
      </w:lvl>
    </w:lvlOverride>
    <w:lvlOverride w:ilvl="4">
      <w:lvl w:ilvl="4">
        <w:start w:val="1"/>
        <w:numFmt w:val="decimal"/>
        <w:pStyle w:val="Heading5"/>
        <w:lvlText w:val="%1.%2.%3.%4.%5."/>
        <w:lvlJc w:val="left"/>
        <w:pPr>
          <w:ind w:left="3366" w:hanging="792"/>
        </w:pPr>
      </w:lvl>
    </w:lvlOverride>
    <w:lvlOverride w:ilvl="5">
      <w:lvl w:ilvl="5">
        <w:start w:val="1"/>
        <w:numFmt w:val="decimal"/>
        <w:pStyle w:val="Heading6"/>
        <w:lvlText w:val="%1.%2.%3.%4.%5.%6."/>
        <w:lvlJc w:val="left"/>
        <w:pPr>
          <w:ind w:left="3870" w:hanging="936"/>
        </w:pPr>
      </w:lvl>
    </w:lvlOverride>
    <w:lvlOverride w:ilvl="6">
      <w:lvl w:ilvl="6">
        <w:start w:val="1"/>
        <w:numFmt w:val="decimal"/>
        <w:pStyle w:val="Heading7"/>
        <w:lvlText w:val="%1.%2.%3.%4.%5.%6.%7."/>
        <w:lvlJc w:val="left"/>
        <w:pPr>
          <w:ind w:left="4374" w:hanging="1080"/>
        </w:pPr>
      </w:lvl>
    </w:lvlOverride>
    <w:lvlOverride w:ilvl="7">
      <w:lvl w:ilvl="7">
        <w:start w:val="1"/>
        <w:numFmt w:val="decimal"/>
        <w:pStyle w:val="Heading8"/>
        <w:lvlText w:val="%1.%2.%3.%4.%5.%6.%7.%8."/>
        <w:lvlJc w:val="left"/>
        <w:pPr>
          <w:ind w:left="4878" w:hanging="1224"/>
        </w:pPr>
      </w:lvl>
    </w:lvlOverride>
    <w:lvlOverride w:ilvl="8">
      <w:lvl w:ilvl="8">
        <w:start w:val="1"/>
        <w:numFmt w:val="decimal"/>
        <w:pStyle w:val="Heading9"/>
        <w:lvlText w:val="%1.%2.%3.%4.%5.%6.%7.%8.%9."/>
        <w:lvlJc w:val="left"/>
        <w:pPr>
          <w:ind w:left="5454" w:hanging="1440"/>
        </w:pPr>
      </w:lvl>
    </w:lvlOverride>
  </w:num>
  <w:num w:numId="15">
    <w:abstractNumId w:val="0"/>
    <w:lvlOverride w:ilvl="0">
      <w:lvl w:ilvl="0">
        <w:start w:val="1"/>
        <w:numFmt w:val="decimal"/>
        <w:pStyle w:val="Heading1"/>
        <w:lvlText w:val="%1."/>
        <w:lvlJc w:val="left"/>
        <w:pPr>
          <w:ind w:left="1494" w:hanging="360"/>
        </w:pPr>
        <w:rPr>
          <w:rFonts w:ascii="Arial" w:hAnsi="Arial" w:cs="Arial" w:hint="default"/>
        </w:rPr>
      </w:lvl>
    </w:lvlOverride>
    <w:lvlOverride w:ilvl="1">
      <w:lvl w:ilvl="1">
        <w:start w:val="1"/>
        <w:numFmt w:val="decimal"/>
        <w:pStyle w:val="Heading2"/>
        <w:lvlText w:val="%1.%2."/>
        <w:lvlJc w:val="left"/>
        <w:pPr>
          <w:ind w:left="1141" w:hanging="432"/>
        </w:pPr>
        <w:rPr>
          <w:b w:val="0"/>
          <w:color w:val="auto"/>
        </w:rPr>
      </w:lvl>
    </w:lvlOverride>
    <w:lvlOverride w:ilvl="2">
      <w:lvl w:ilvl="2">
        <w:start w:val="1"/>
        <w:numFmt w:val="decimal"/>
        <w:pStyle w:val="Heading3"/>
        <w:lvlText w:val="%1.%2.%3."/>
        <w:lvlJc w:val="left"/>
        <w:pPr>
          <w:ind w:left="2358" w:hanging="504"/>
        </w:pPr>
      </w:lvl>
    </w:lvlOverride>
    <w:lvlOverride w:ilvl="3">
      <w:lvl w:ilvl="3">
        <w:start w:val="1"/>
        <w:numFmt w:val="decimal"/>
        <w:pStyle w:val="Heading4"/>
        <w:lvlText w:val="%1.%2.%3.%4."/>
        <w:lvlJc w:val="left"/>
        <w:pPr>
          <w:ind w:left="2862" w:hanging="648"/>
        </w:pPr>
      </w:lvl>
    </w:lvlOverride>
    <w:lvlOverride w:ilvl="4">
      <w:lvl w:ilvl="4">
        <w:start w:val="1"/>
        <w:numFmt w:val="decimal"/>
        <w:pStyle w:val="Heading5"/>
        <w:lvlText w:val="%1.%2.%3.%4.%5."/>
        <w:lvlJc w:val="left"/>
        <w:pPr>
          <w:ind w:left="3366" w:hanging="792"/>
        </w:pPr>
      </w:lvl>
    </w:lvlOverride>
    <w:lvlOverride w:ilvl="5">
      <w:lvl w:ilvl="5">
        <w:start w:val="1"/>
        <w:numFmt w:val="decimal"/>
        <w:pStyle w:val="Heading6"/>
        <w:lvlText w:val="%1.%2.%3.%4.%5.%6."/>
        <w:lvlJc w:val="left"/>
        <w:pPr>
          <w:ind w:left="3870" w:hanging="936"/>
        </w:pPr>
      </w:lvl>
    </w:lvlOverride>
    <w:lvlOverride w:ilvl="6">
      <w:lvl w:ilvl="6">
        <w:start w:val="1"/>
        <w:numFmt w:val="decimal"/>
        <w:pStyle w:val="Heading7"/>
        <w:lvlText w:val="%1.%2.%3.%4.%5.%6.%7."/>
        <w:lvlJc w:val="left"/>
        <w:pPr>
          <w:ind w:left="4374" w:hanging="1080"/>
        </w:pPr>
      </w:lvl>
    </w:lvlOverride>
    <w:lvlOverride w:ilvl="7">
      <w:lvl w:ilvl="7">
        <w:start w:val="1"/>
        <w:numFmt w:val="decimal"/>
        <w:pStyle w:val="Heading8"/>
        <w:lvlText w:val="%1.%2.%3.%4.%5.%6.%7.%8."/>
        <w:lvlJc w:val="left"/>
        <w:pPr>
          <w:ind w:left="4878" w:hanging="1224"/>
        </w:pPr>
      </w:lvl>
    </w:lvlOverride>
    <w:lvlOverride w:ilvl="8">
      <w:lvl w:ilvl="8">
        <w:start w:val="1"/>
        <w:numFmt w:val="decimal"/>
        <w:pStyle w:val="Heading9"/>
        <w:lvlText w:val="%1.%2.%3.%4.%5.%6.%7.%8.%9."/>
        <w:lvlJc w:val="left"/>
        <w:pPr>
          <w:ind w:left="5454" w:hanging="1440"/>
        </w:pPr>
      </w:lvl>
    </w:lvlOverride>
  </w:num>
  <w:num w:numId="16">
    <w:abstractNumId w:val="0"/>
    <w:lvlOverride w:ilvl="0">
      <w:lvl w:ilvl="0">
        <w:start w:val="1"/>
        <w:numFmt w:val="decimal"/>
        <w:pStyle w:val="Heading1"/>
        <w:lvlText w:val="%1."/>
        <w:lvlJc w:val="left"/>
        <w:pPr>
          <w:ind w:left="1494" w:hanging="360"/>
        </w:pPr>
        <w:rPr>
          <w:rFonts w:ascii="Arial" w:hAnsi="Arial" w:cs="Arial" w:hint="default"/>
        </w:rPr>
      </w:lvl>
    </w:lvlOverride>
    <w:lvlOverride w:ilvl="1">
      <w:lvl w:ilvl="1">
        <w:start w:val="1"/>
        <w:numFmt w:val="decimal"/>
        <w:pStyle w:val="Heading2"/>
        <w:lvlText w:val="%1.%2."/>
        <w:lvlJc w:val="left"/>
        <w:pPr>
          <w:ind w:left="1141" w:hanging="432"/>
        </w:pPr>
        <w:rPr>
          <w:b w:val="0"/>
          <w:color w:val="auto"/>
        </w:rPr>
      </w:lvl>
    </w:lvlOverride>
    <w:lvlOverride w:ilvl="2">
      <w:lvl w:ilvl="2">
        <w:start w:val="1"/>
        <w:numFmt w:val="decimal"/>
        <w:pStyle w:val="Heading3"/>
        <w:lvlText w:val="%1.%2.%3."/>
        <w:lvlJc w:val="left"/>
        <w:pPr>
          <w:ind w:left="2358" w:hanging="504"/>
        </w:pPr>
      </w:lvl>
    </w:lvlOverride>
    <w:lvlOverride w:ilvl="3">
      <w:lvl w:ilvl="3">
        <w:start w:val="1"/>
        <w:numFmt w:val="decimal"/>
        <w:pStyle w:val="Heading4"/>
        <w:lvlText w:val="%1.%2.%3.%4."/>
        <w:lvlJc w:val="left"/>
        <w:pPr>
          <w:ind w:left="2862" w:hanging="648"/>
        </w:pPr>
      </w:lvl>
    </w:lvlOverride>
    <w:lvlOverride w:ilvl="4">
      <w:lvl w:ilvl="4">
        <w:start w:val="1"/>
        <w:numFmt w:val="decimal"/>
        <w:pStyle w:val="Heading5"/>
        <w:lvlText w:val="%1.%2.%3.%4.%5."/>
        <w:lvlJc w:val="left"/>
        <w:pPr>
          <w:ind w:left="3366" w:hanging="792"/>
        </w:pPr>
      </w:lvl>
    </w:lvlOverride>
    <w:lvlOverride w:ilvl="5">
      <w:lvl w:ilvl="5">
        <w:start w:val="1"/>
        <w:numFmt w:val="decimal"/>
        <w:pStyle w:val="Heading6"/>
        <w:lvlText w:val="%1.%2.%3.%4.%5.%6."/>
        <w:lvlJc w:val="left"/>
        <w:pPr>
          <w:ind w:left="3870" w:hanging="936"/>
        </w:pPr>
      </w:lvl>
    </w:lvlOverride>
    <w:lvlOverride w:ilvl="6">
      <w:lvl w:ilvl="6">
        <w:start w:val="1"/>
        <w:numFmt w:val="decimal"/>
        <w:pStyle w:val="Heading7"/>
        <w:lvlText w:val="%1.%2.%3.%4.%5.%6.%7."/>
        <w:lvlJc w:val="left"/>
        <w:pPr>
          <w:ind w:left="4374" w:hanging="1080"/>
        </w:pPr>
      </w:lvl>
    </w:lvlOverride>
    <w:lvlOverride w:ilvl="7">
      <w:lvl w:ilvl="7">
        <w:start w:val="1"/>
        <w:numFmt w:val="decimal"/>
        <w:pStyle w:val="Heading8"/>
        <w:lvlText w:val="%1.%2.%3.%4.%5.%6.%7.%8."/>
        <w:lvlJc w:val="left"/>
        <w:pPr>
          <w:ind w:left="4878" w:hanging="1224"/>
        </w:pPr>
      </w:lvl>
    </w:lvlOverride>
    <w:lvlOverride w:ilvl="8">
      <w:lvl w:ilvl="8">
        <w:start w:val="1"/>
        <w:numFmt w:val="decimal"/>
        <w:pStyle w:val="Heading9"/>
        <w:lvlText w:val="%1.%2.%3.%4.%5.%6.%7.%8.%9."/>
        <w:lvlJc w:val="left"/>
        <w:pPr>
          <w:ind w:left="5454" w:hanging="1440"/>
        </w:pPr>
      </w:lvl>
    </w:lvlOverride>
  </w:num>
  <w:num w:numId="17">
    <w:abstractNumId w:val="0"/>
    <w:lvlOverride w:ilvl="0">
      <w:lvl w:ilvl="0">
        <w:start w:val="1"/>
        <w:numFmt w:val="decimal"/>
        <w:pStyle w:val="Heading1"/>
        <w:lvlText w:val="%1."/>
        <w:lvlJc w:val="left"/>
        <w:pPr>
          <w:ind w:left="1494" w:hanging="360"/>
        </w:pPr>
        <w:rPr>
          <w:rFonts w:ascii="Arial" w:hAnsi="Arial" w:cs="Arial" w:hint="default"/>
        </w:rPr>
      </w:lvl>
    </w:lvlOverride>
    <w:lvlOverride w:ilvl="1">
      <w:lvl w:ilvl="1">
        <w:start w:val="1"/>
        <w:numFmt w:val="decimal"/>
        <w:pStyle w:val="Heading2"/>
        <w:lvlText w:val="%1.%2."/>
        <w:lvlJc w:val="left"/>
        <w:pPr>
          <w:ind w:left="1141" w:hanging="432"/>
        </w:pPr>
        <w:rPr>
          <w:b w:val="0"/>
          <w:color w:val="auto"/>
        </w:rPr>
      </w:lvl>
    </w:lvlOverride>
    <w:lvlOverride w:ilvl="2">
      <w:lvl w:ilvl="2">
        <w:start w:val="1"/>
        <w:numFmt w:val="decimal"/>
        <w:pStyle w:val="Heading3"/>
        <w:lvlText w:val="%1.%2.%3."/>
        <w:lvlJc w:val="left"/>
        <w:pPr>
          <w:ind w:left="2358" w:hanging="504"/>
        </w:pPr>
      </w:lvl>
    </w:lvlOverride>
    <w:lvlOverride w:ilvl="3">
      <w:lvl w:ilvl="3">
        <w:start w:val="1"/>
        <w:numFmt w:val="decimal"/>
        <w:pStyle w:val="Heading4"/>
        <w:lvlText w:val="%1.%2.%3.%4."/>
        <w:lvlJc w:val="left"/>
        <w:pPr>
          <w:ind w:left="2862" w:hanging="648"/>
        </w:pPr>
      </w:lvl>
    </w:lvlOverride>
    <w:lvlOverride w:ilvl="4">
      <w:lvl w:ilvl="4">
        <w:start w:val="1"/>
        <w:numFmt w:val="decimal"/>
        <w:pStyle w:val="Heading5"/>
        <w:lvlText w:val="%1.%2.%3.%4.%5."/>
        <w:lvlJc w:val="left"/>
        <w:pPr>
          <w:ind w:left="3366" w:hanging="792"/>
        </w:pPr>
      </w:lvl>
    </w:lvlOverride>
    <w:lvlOverride w:ilvl="5">
      <w:lvl w:ilvl="5">
        <w:start w:val="1"/>
        <w:numFmt w:val="decimal"/>
        <w:pStyle w:val="Heading6"/>
        <w:lvlText w:val="%1.%2.%3.%4.%5.%6."/>
        <w:lvlJc w:val="left"/>
        <w:pPr>
          <w:ind w:left="3870" w:hanging="936"/>
        </w:pPr>
      </w:lvl>
    </w:lvlOverride>
    <w:lvlOverride w:ilvl="6">
      <w:lvl w:ilvl="6">
        <w:start w:val="1"/>
        <w:numFmt w:val="decimal"/>
        <w:pStyle w:val="Heading7"/>
        <w:lvlText w:val="%1.%2.%3.%4.%5.%6.%7."/>
        <w:lvlJc w:val="left"/>
        <w:pPr>
          <w:ind w:left="4374" w:hanging="1080"/>
        </w:pPr>
      </w:lvl>
    </w:lvlOverride>
    <w:lvlOverride w:ilvl="7">
      <w:lvl w:ilvl="7">
        <w:start w:val="1"/>
        <w:numFmt w:val="decimal"/>
        <w:pStyle w:val="Heading8"/>
        <w:lvlText w:val="%1.%2.%3.%4.%5.%6.%7.%8."/>
        <w:lvlJc w:val="left"/>
        <w:pPr>
          <w:ind w:left="4878" w:hanging="1224"/>
        </w:pPr>
      </w:lvl>
    </w:lvlOverride>
    <w:lvlOverride w:ilvl="8">
      <w:lvl w:ilvl="8">
        <w:start w:val="1"/>
        <w:numFmt w:val="decimal"/>
        <w:pStyle w:val="Heading9"/>
        <w:lvlText w:val="%1.%2.%3.%4.%5.%6.%7.%8.%9."/>
        <w:lvlJc w:val="left"/>
        <w:pPr>
          <w:ind w:left="5454" w:hanging="1440"/>
        </w:pPr>
      </w:lvl>
    </w:lvlOverride>
  </w:num>
  <w:num w:numId="18">
    <w:abstractNumId w:val="0"/>
    <w:lvlOverride w:ilvl="0">
      <w:lvl w:ilvl="0">
        <w:start w:val="1"/>
        <w:numFmt w:val="decimal"/>
        <w:pStyle w:val="Heading1"/>
        <w:lvlText w:val="%1."/>
        <w:lvlJc w:val="left"/>
        <w:pPr>
          <w:ind w:left="1494" w:hanging="360"/>
        </w:pPr>
        <w:rPr>
          <w:rFonts w:ascii="Arial" w:hAnsi="Arial" w:cs="Arial" w:hint="default"/>
        </w:rPr>
      </w:lvl>
    </w:lvlOverride>
    <w:lvlOverride w:ilvl="1">
      <w:lvl w:ilvl="1">
        <w:start w:val="1"/>
        <w:numFmt w:val="decimal"/>
        <w:pStyle w:val="Heading2"/>
        <w:lvlText w:val="%1.%2."/>
        <w:lvlJc w:val="left"/>
        <w:pPr>
          <w:ind w:left="1141" w:hanging="432"/>
        </w:pPr>
        <w:rPr>
          <w:b w:val="0"/>
          <w:color w:val="auto"/>
        </w:rPr>
      </w:lvl>
    </w:lvlOverride>
    <w:lvlOverride w:ilvl="2">
      <w:lvl w:ilvl="2">
        <w:start w:val="1"/>
        <w:numFmt w:val="decimal"/>
        <w:pStyle w:val="Heading3"/>
        <w:lvlText w:val="%1.%2.%3."/>
        <w:lvlJc w:val="left"/>
        <w:pPr>
          <w:ind w:left="2358" w:hanging="504"/>
        </w:pPr>
      </w:lvl>
    </w:lvlOverride>
    <w:lvlOverride w:ilvl="3">
      <w:lvl w:ilvl="3">
        <w:start w:val="1"/>
        <w:numFmt w:val="decimal"/>
        <w:pStyle w:val="Heading4"/>
        <w:lvlText w:val="%1.%2.%3.%4."/>
        <w:lvlJc w:val="left"/>
        <w:pPr>
          <w:ind w:left="2862" w:hanging="648"/>
        </w:pPr>
      </w:lvl>
    </w:lvlOverride>
    <w:lvlOverride w:ilvl="4">
      <w:lvl w:ilvl="4">
        <w:start w:val="1"/>
        <w:numFmt w:val="decimal"/>
        <w:pStyle w:val="Heading5"/>
        <w:lvlText w:val="%1.%2.%3.%4.%5."/>
        <w:lvlJc w:val="left"/>
        <w:pPr>
          <w:ind w:left="3366" w:hanging="792"/>
        </w:pPr>
      </w:lvl>
    </w:lvlOverride>
    <w:lvlOverride w:ilvl="5">
      <w:lvl w:ilvl="5">
        <w:start w:val="1"/>
        <w:numFmt w:val="decimal"/>
        <w:pStyle w:val="Heading6"/>
        <w:lvlText w:val="%1.%2.%3.%4.%5.%6."/>
        <w:lvlJc w:val="left"/>
        <w:pPr>
          <w:ind w:left="3870" w:hanging="936"/>
        </w:pPr>
      </w:lvl>
    </w:lvlOverride>
    <w:lvlOverride w:ilvl="6">
      <w:lvl w:ilvl="6">
        <w:start w:val="1"/>
        <w:numFmt w:val="decimal"/>
        <w:pStyle w:val="Heading7"/>
        <w:lvlText w:val="%1.%2.%3.%4.%5.%6.%7."/>
        <w:lvlJc w:val="left"/>
        <w:pPr>
          <w:ind w:left="4374" w:hanging="1080"/>
        </w:pPr>
      </w:lvl>
    </w:lvlOverride>
    <w:lvlOverride w:ilvl="7">
      <w:lvl w:ilvl="7">
        <w:start w:val="1"/>
        <w:numFmt w:val="decimal"/>
        <w:pStyle w:val="Heading8"/>
        <w:lvlText w:val="%1.%2.%3.%4.%5.%6.%7.%8."/>
        <w:lvlJc w:val="left"/>
        <w:pPr>
          <w:ind w:left="4878" w:hanging="1224"/>
        </w:pPr>
      </w:lvl>
    </w:lvlOverride>
    <w:lvlOverride w:ilvl="8">
      <w:lvl w:ilvl="8">
        <w:start w:val="1"/>
        <w:numFmt w:val="decimal"/>
        <w:pStyle w:val="Heading9"/>
        <w:lvlText w:val="%1.%2.%3.%4.%5.%6.%7.%8.%9."/>
        <w:lvlJc w:val="left"/>
        <w:pPr>
          <w:ind w:left="5454" w:hanging="1440"/>
        </w:pPr>
      </w:lvl>
    </w:lvlOverride>
  </w:num>
  <w:num w:numId="19">
    <w:abstractNumId w:val="0"/>
    <w:lvlOverride w:ilvl="0">
      <w:lvl w:ilvl="0">
        <w:start w:val="1"/>
        <w:numFmt w:val="decimal"/>
        <w:pStyle w:val="Heading1"/>
        <w:lvlText w:val="%1."/>
        <w:lvlJc w:val="left"/>
        <w:pPr>
          <w:ind w:left="1494" w:hanging="360"/>
        </w:pPr>
        <w:rPr>
          <w:rFonts w:ascii="Arial" w:hAnsi="Arial" w:cs="Arial" w:hint="default"/>
        </w:rPr>
      </w:lvl>
    </w:lvlOverride>
    <w:lvlOverride w:ilvl="1">
      <w:lvl w:ilvl="1">
        <w:start w:val="1"/>
        <w:numFmt w:val="decimal"/>
        <w:pStyle w:val="Heading2"/>
        <w:lvlText w:val="%1.%2."/>
        <w:lvlJc w:val="left"/>
        <w:pPr>
          <w:ind w:left="1141" w:hanging="432"/>
        </w:pPr>
        <w:rPr>
          <w:b w:val="0"/>
          <w:color w:val="auto"/>
        </w:rPr>
      </w:lvl>
    </w:lvlOverride>
    <w:lvlOverride w:ilvl="2">
      <w:lvl w:ilvl="2">
        <w:start w:val="1"/>
        <w:numFmt w:val="decimal"/>
        <w:pStyle w:val="Heading3"/>
        <w:lvlText w:val="%1.%2.%3."/>
        <w:lvlJc w:val="left"/>
        <w:pPr>
          <w:ind w:left="2358" w:hanging="504"/>
        </w:pPr>
      </w:lvl>
    </w:lvlOverride>
    <w:lvlOverride w:ilvl="3">
      <w:lvl w:ilvl="3">
        <w:start w:val="1"/>
        <w:numFmt w:val="decimal"/>
        <w:pStyle w:val="Heading4"/>
        <w:lvlText w:val="%1.%2.%3.%4."/>
        <w:lvlJc w:val="left"/>
        <w:pPr>
          <w:ind w:left="2862" w:hanging="648"/>
        </w:pPr>
      </w:lvl>
    </w:lvlOverride>
    <w:lvlOverride w:ilvl="4">
      <w:lvl w:ilvl="4">
        <w:start w:val="1"/>
        <w:numFmt w:val="decimal"/>
        <w:pStyle w:val="Heading5"/>
        <w:lvlText w:val="%1.%2.%3.%4.%5."/>
        <w:lvlJc w:val="left"/>
        <w:pPr>
          <w:ind w:left="3366" w:hanging="792"/>
        </w:pPr>
      </w:lvl>
    </w:lvlOverride>
    <w:lvlOverride w:ilvl="5">
      <w:lvl w:ilvl="5">
        <w:start w:val="1"/>
        <w:numFmt w:val="decimal"/>
        <w:pStyle w:val="Heading6"/>
        <w:lvlText w:val="%1.%2.%3.%4.%5.%6."/>
        <w:lvlJc w:val="left"/>
        <w:pPr>
          <w:ind w:left="3870" w:hanging="936"/>
        </w:pPr>
      </w:lvl>
    </w:lvlOverride>
    <w:lvlOverride w:ilvl="6">
      <w:lvl w:ilvl="6">
        <w:start w:val="1"/>
        <w:numFmt w:val="decimal"/>
        <w:pStyle w:val="Heading7"/>
        <w:lvlText w:val="%1.%2.%3.%4.%5.%6.%7."/>
        <w:lvlJc w:val="left"/>
        <w:pPr>
          <w:ind w:left="4374" w:hanging="1080"/>
        </w:pPr>
      </w:lvl>
    </w:lvlOverride>
    <w:lvlOverride w:ilvl="7">
      <w:lvl w:ilvl="7">
        <w:start w:val="1"/>
        <w:numFmt w:val="decimal"/>
        <w:pStyle w:val="Heading8"/>
        <w:lvlText w:val="%1.%2.%3.%4.%5.%6.%7.%8."/>
        <w:lvlJc w:val="left"/>
        <w:pPr>
          <w:ind w:left="4878" w:hanging="1224"/>
        </w:pPr>
      </w:lvl>
    </w:lvlOverride>
    <w:lvlOverride w:ilvl="8">
      <w:lvl w:ilvl="8">
        <w:start w:val="1"/>
        <w:numFmt w:val="decimal"/>
        <w:pStyle w:val="Heading9"/>
        <w:lvlText w:val="%1.%2.%3.%4.%5.%6.%7.%8.%9."/>
        <w:lvlJc w:val="left"/>
        <w:pPr>
          <w:ind w:left="5454" w:hanging="1440"/>
        </w:pPr>
      </w:lvl>
    </w:lvlOverride>
  </w:num>
  <w:num w:numId="20">
    <w:abstractNumId w:val="0"/>
    <w:lvlOverride w:ilvl="0">
      <w:lvl w:ilvl="0">
        <w:start w:val="1"/>
        <w:numFmt w:val="decimal"/>
        <w:pStyle w:val="Heading1"/>
        <w:lvlText w:val="%1."/>
        <w:lvlJc w:val="left"/>
        <w:pPr>
          <w:ind w:left="1494" w:hanging="360"/>
        </w:pPr>
        <w:rPr>
          <w:rFonts w:ascii="Arial" w:hAnsi="Arial" w:cs="Arial" w:hint="default"/>
        </w:rPr>
      </w:lvl>
    </w:lvlOverride>
    <w:lvlOverride w:ilvl="1">
      <w:lvl w:ilvl="1">
        <w:start w:val="1"/>
        <w:numFmt w:val="decimal"/>
        <w:pStyle w:val="Heading2"/>
        <w:lvlText w:val="%1.%2."/>
        <w:lvlJc w:val="left"/>
        <w:pPr>
          <w:ind w:left="1141" w:hanging="432"/>
        </w:pPr>
        <w:rPr>
          <w:b w:val="0"/>
          <w:color w:val="auto"/>
        </w:rPr>
      </w:lvl>
    </w:lvlOverride>
    <w:lvlOverride w:ilvl="2">
      <w:lvl w:ilvl="2">
        <w:start w:val="1"/>
        <w:numFmt w:val="decimal"/>
        <w:pStyle w:val="Heading3"/>
        <w:lvlText w:val="%1.%2.%3."/>
        <w:lvlJc w:val="left"/>
        <w:pPr>
          <w:ind w:left="2358" w:hanging="504"/>
        </w:pPr>
      </w:lvl>
    </w:lvlOverride>
    <w:lvlOverride w:ilvl="3">
      <w:lvl w:ilvl="3">
        <w:start w:val="1"/>
        <w:numFmt w:val="decimal"/>
        <w:pStyle w:val="Heading4"/>
        <w:lvlText w:val="%1.%2.%3.%4."/>
        <w:lvlJc w:val="left"/>
        <w:pPr>
          <w:ind w:left="2862" w:hanging="648"/>
        </w:pPr>
      </w:lvl>
    </w:lvlOverride>
    <w:lvlOverride w:ilvl="4">
      <w:lvl w:ilvl="4">
        <w:start w:val="1"/>
        <w:numFmt w:val="decimal"/>
        <w:pStyle w:val="Heading5"/>
        <w:lvlText w:val="%1.%2.%3.%4.%5."/>
        <w:lvlJc w:val="left"/>
        <w:pPr>
          <w:ind w:left="3366" w:hanging="792"/>
        </w:pPr>
      </w:lvl>
    </w:lvlOverride>
    <w:lvlOverride w:ilvl="5">
      <w:lvl w:ilvl="5">
        <w:start w:val="1"/>
        <w:numFmt w:val="decimal"/>
        <w:pStyle w:val="Heading6"/>
        <w:lvlText w:val="%1.%2.%3.%4.%5.%6."/>
        <w:lvlJc w:val="left"/>
        <w:pPr>
          <w:ind w:left="3870" w:hanging="936"/>
        </w:pPr>
      </w:lvl>
    </w:lvlOverride>
    <w:lvlOverride w:ilvl="6">
      <w:lvl w:ilvl="6">
        <w:start w:val="1"/>
        <w:numFmt w:val="decimal"/>
        <w:pStyle w:val="Heading7"/>
        <w:lvlText w:val="%1.%2.%3.%4.%5.%6.%7."/>
        <w:lvlJc w:val="left"/>
        <w:pPr>
          <w:ind w:left="4374" w:hanging="1080"/>
        </w:pPr>
      </w:lvl>
    </w:lvlOverride>
    <w:lvlOverride w:ilvl="7">
      <w:lvl w:ilvl="7">
        <w:start w:val="1"/>
        <w:numFmt w:val="decimal"/>
        <w:pStyle w:val="Heading8"/>
        <w:lvlText w:val="%1.%2.%3.%4.%5.%6.%7.%8."/>
        <w:lvlJc w:val="left"/>
        <w:pPr>
          <w:ind w:left="4878" w:hanging="1224"/>
        </w:pPr>
      </w:lvl>
    </w:lvlOverride>
    <w:lvlOverride w:ilvl="8">
      <w:lvl w:ilvl="8">
        <w:start w:val="1"/>
        <w:numFmt w:val="decimal"/>
        <w:pStyle w:val="Heading9"/>
        <w:lvlText w:val="%1.%2.%3.%4.%5.%6.%7.%8.%9."/>
        <w:lvlJc w:val="left"/>
        <w:pPr>
          <w:ind w:left="5454" w:hanging="1440"/>
        </w:pPr>
      </w:lvl>
    </w:lvlOverride>
  </w:num>
  <w:num w:numId="2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A3"/>
    <w:rsid w:val="00000AB0"/>
    <w:rsid w:val="0000126F"/>
    <w:rsid w:val="00001343"/>
    <w:rsid w:val="000048EE"/>
    <w:rsid w:val="000062EC"/>
    <w:rsid w:val="0001145B"/>
    <w:rsid w:val="00012776"/>
    <w:rsid w:val="00014681"/>
    <w:rsid w:val="00016355"/>
    <w:rsid w:val="00017D79"/>
    <w:rsid w:val="0002222B"/>
    <w:rsid w:val="00023838"/>
    <w:rsid w:val="00026075"/>
    <w:rsid w:val="000317E2"/>
    <w:rsid w:val="0004243F"/>
    <w:rsid w:val="00042441"/>
    <w:rsid w:val="0004280E"/>
    <w:rsid w:val="000502DA"/>
    <w:rsid w:val="0005417B"/>
    <w:rsid w:val="0005580D"/>
    <w:rsid w:val="000573F3"/>
    <w:rsid w:val="00060E32"/>
    <w:rsid w:val="00060FA1"/>
    <w:rsid w:val="00064103"/>
    <w:rsid w:val="00064104"/>
    <w:rsid w:val="00065579"/>
    <w:rsid w:val="00065BC1"/>
    <w:rsid w:val="00066A12"/>
    <w:rsid w:val="00073A11"/>
    <w:rsid w:val="000831C3"/>
    <w:rsid w:val="00083DC6"/>
    <w:rsid w:val="00086A10"/>
    <w:rsid w:val="00087C6F"/>
    <w:rsid w:val="00095450"/>
    <w:rsid w:val="000A0668"/>
    <w:rsid w:val="000A7658"/>
    <w:rsid w:val="000B0685"/>
    <w:rsid w:val="000E211D"/>
    <w:rsid w:val="000E7FFD"/>
    <w:rsid w:val="000F2CA7"/>
    <w:rsid w:val="000F4F06"/>
    <w:rsid w:val="000F5EB0"/>
    <w:rsid w:val="000F6A6F"/>
    <w:rsid w:val="000F77E4"/>
    <w:rsid w:val="00102CEE"/>
    <w:rsid w:val="001034A3"/>
    <w:rsid w:val="00111A80"/>
    <w:rsid w:val="00113425"/>
    <w:rsid w:val="00121949"/>
    <w:rsid w:val="001255EB"/>
    <w:rsid w:val="00131A72"/>
    <w:rsid w:val="00134750"/>
    <w:rsid w:val="00141D11"/>
    <w:rsid w:val="00143C40"/>
    <w:rsid w:val="00154FC9"/>
    <w:rsid w:val="00155262"/>
    <w:rsid w:val="001562F9"/>
    <w:rsid w:val="00156F26"/>
    <w:rsid w:val="00165126"/>
    <w:rsid w:val="00166112"/>
    <w:rsid w:val="0016799B"/>
    <w:rsid w:val="00173CED"/>
    <w:rsid w:val="00177191"/>
    <w:rsid w:val="0018037B"/>
    <w:rsid w:val="001854AE"/>
    <w:rsid w:val="00185544"/>
    <w:rsid w:val="00194550"/>
    <w:rsid w:val="00195062"/>
    <w:rsid w:val="00196F97"/>
    <w:rsid w:val="001A38A9"/>
    <w:rsid w:val="001A6C53"/>
    <w:rsid w:val="001A7AFD"/>
    <w:rsid w:val="001C2028"/>
    <w:rsid w:val="001C298F"/>
    <w:rsid w:val="001C3C64"/>
    <w:rsid w:val="001D2566"/>
    <w:rsid w:val="001D48D6"/>
    <w:rsid w:val="001D7946"/>
    <w:rsid w:val="001D7E5D"/>
    <w:rsid w:val="001E080D"/>
    <w:rsid w:val="001E2393"/>
    <w:rsid w:val="001E308A"/>
    <w:rsid w:val="001F2751"/>
    <w:rsid w:val="001F2808"/>
    <w:rsid w:val="001F3F40"/>
    <w:rsid w:val="001F407D"/>
    <w:rsid w:val="001F4D0C"/>
    <w:rsid w:val="001F61E5"/>
    <w:rsid w:val="00200413"/>
    <w:rsid w:val="00203CCB"/>
    <w:rsid w:val="00207179"/>
    <w:rsid w:val="0021027B"/>
    <w:rsid w:val="00210C9D"/>
    <w:rsid w:val="00213DA0"/>
    <w:rsid w:val="00214367"/>
    <w:rsid w:val="0021725C"/>
    <w:rsid w:val="0021780A"/>
    <w:rsid w:val="00220869"/>
    <w:rsid w:val="002212DE"/>
    <w:rsid w:val="00222C2B"/>
    <w:rsid w:val="00232341"/>
    <w:rsid w:val="0023253F"/>
    <w:rsid w:val="00240B73"/>
    <w:rsid w:val="00244E5A"/>
    <w:rsid w:val="002473A6"/>
    <w:rsid w:val="002541F7"/>
    <w:rsid w:val="00260237"/>
    <w:rsid w:val="00262074"/>
    <w:rsid w:val="002640EC"/>
    <w:rsid w:val="0026517D"/>
    <w:rsid w:val="00265F3E"/>
    <w:rsid w:val="0027149E"/>
    <w:rsid w:val="00275164"/>
    <w:rsid w:val="00275B63"/>
    <w:rsid w:val="002766B1"/>
    <w:rsid w:val="002833B9"/>
    <w:rsid w:val="00284043"/>
    <w:rsid w:val="0028495E"/>
    <w:rsid w:val="00294E83"/>
    <w:rsid w:val="0029719E"/>
    <w:rsid w:val="002A092F"/>
    <w:rsid w:val="002A125C"/>
    <w:rsid w:val="002B1268"/>
    <w:rsid w:val="002C142C"/>
    <w:rsid w:val="002C2FD9"/>
    <w:rsid w:val="002C434B"/>
    <w:rsid w:val="002C7713"/>
    <w:rsid w:val="002D075F"/>
    <w:rsid w:val="002D5B51"/>
    <w:rsid w:val="002D7860"/>
    <w:rsid w:val="002E28C6"/>
    <w:rsid w:val="002E3EDC"/>
    <w:rsid w:val="002E599A"/>
    <w:rsid w:val="002E7BA6"/>
    <w:rsid w:val="002F138F"/>
    <w:rsid w:val="002F398B"/>
    <w:rsid w:val="002F506E"/>
    <w:rsid w:val="002F5E2F"/>
    <w:rsid w:val="002F7C58"/>
    <w:rsid w:val="002F7E0A"/>
    <w:rsid w:val="00300E52"/>
    <w:rsid w:val="0030111B"/>
    <w:rsid w:val="00304E93"/>
    <w:rsid w:val="0030534C"/>
    <w:rsid w:val="00305E61"/>
    <w:rsid w:val="00307501"/>
    <w:rsid w:val="0031289A"/>
    <w:rsid w:val="0031392B"/>
    <w:rsid w:val="00322D78"/>
    <w:rsid w:val="00324827"/>
    <w:rsid w:val="00325EEE"/>
    <w:rsid w:val="00326A41"/>
    <w:rsid w:val="00331EA4"/>
    <w:rsid w:val="003329B8"/>
    <w:rsid w:val="00341837"/>
    <w:rsid w:val="00347C45"/>
    <w:rsid w:val="00355746"/>
    <w:rsid w:val="00355FDC"/>
    <w:rsid w:val="00356BFB"/>
    <w:rsid w:val="00362774"/>
    <w:rsid w:val="00365892"/>
    <w:rsid w:val="00366542"/>
    <w:rsid w:val="003665A3"/>
    <w:rsid w:val="0037018F"/>
    <w:rsid w:val="00373767"/>
    <w:rsid w:val="003745F4"/>
    <w:rsid w:val="00381B98"/>
    <w:rsid w:val="0038221C"/>
    <w:rsid w:val="00384B06"/>
    <w:rsid w:val="00385A35"/>
    <w:rsid w:val="00392568"/>
    <w:rsid w:val="00395A14"/>
    <w:rsid w:val="003973BE"/>
    <w:rsid w:val="003A01E4"/>
    <w:rsid w:val="003A13F9"/>
    <w:rsid w:val="003A372E"/>
    <w:rsid w:val="003A510E"/>
    <w:rsid w:val="003A6795"/>
    <w:rsid w:val="003B03AB"/>
    <w:rsid w:val="003B1D71"/>
    <w:rsid w:val="003B31DF"/>
    <w:rsid w:val="003B45FF"/>
    <w:rsid w:val="003B48DA"/>
    <w:rsid w:val="003C2488"/>
    <w:rsid w:val="003C2675"/>
    <w:rsid w:val="003C436D"/>
    <w:rsid w:val="003C486E"/>
    <w:rsid w:val="003C5FBC"/>
    <w:rsid w:val="003C755B"/>
    <w:rsid w:val="003D01C4"/>
    <w:rsid w:val="003D2E20"/>
    <w:rsid w:val="003E06AC"/>
    <w:rsid w:val="003E0CA0"/>
    <w:rsid w:val="003E0D7C"/>
    <w:rsid w:val="003E245A"/>
    <w:rsid w:val="003E5A5E"/>
    <w:rsid w:val="003E7604"/>
    <w:rsid w:val="003F28BA"/>
    <w:rsid w:val="003F4D91"/>
    <w:rsid w:val="003F5A84"/>
    <w:rsid w:val="003F686F"/>
    <w:rsid w:val="0040325A"/>
    <w:rsid w:val="004074F6"/>
    <w:rsid w:val="00407D59"/>
    <w:rsid w:val="00410D0E"/>
    <w:rsid w:val="00414128"/>
    <w:rsid w:val="00414362"/>
    <w:rsid w:val="00415120"/>
    <w:rsid w:val="00416FE4"/>
    <w:rsid w:val="004230BD"/>
    <w:rsid w:val="004237DD"/>
    <w:rsid w:val="00427D86"/>
    <w:rsid w:val="004318A8"/>
    <w:rsid w:val="00432C55"/>
    <w:rsid w:val="00440FED"/>
    <w:rsid w:val="004427EF"/>
    <w:rsid w:val="00443535"/>
    <w:rsid w:val="00443F34"/>
    <w:rsid w:val="00444049"/>
    <w:rsid w:val="00445A6E"/>
    <w:rsid w:val="00451911"/>
    <w:rsid w:val="00454827"/>
    <w:rsid w:val="00465D1D"/>
    <w:rsid w:val="00467527"/>
    <w:rsid w:val="00470B73"/>
    <w:rsid w:val="00473D7D"/>
    <w:rsid w:val="00474F20"/>
    <w:rsid w:val="0047504C"/>
    <w:rsid w:val="00476B77"/>
    <w:rsid w:val="00477C34"/>
    <w:rsid w:val="00484BFC"/>
    <w:rsid w:val="00487A58"/>
    <w:rsid w:val="00490AC9"/>
    <w:rsid w:val="0049240D"/>
    <w:rsid w:val="00493B4C"/>
    <w:rsid w:val="004962A5"/>
    <w:rsid w:val="004A19A8"/>
    <w:rsid w:val="004A3831"/>
    <w:rsid w:val="004A6A68"/>
    <w:rsid w:val="004B1E91"/>
    <w:rsid w:val="004B26DF"/>
    <w:rsid w:val="004B34F6"/>
    <w:rsid w:val="004B4974"/>
    <w:rsid w:val="004B5E08"/>
    <w:rsid w:val="004B6933"/>
    <w:rsid w:val="004B75CC"/>
    <w:rsid w:val="004D1B1F"/>
    <w:rsid w:val="004D207A"/>
    <w:rsid w:val="004E2504"/>
    <w:rsid w:val="004E25C3"/>
    <w:rsid w:val="004E2E8D"/>
    <w:rsid w:val="004E4621"/>
    <w:rsid w:val="004F6AC5"/>
    <w:rsid w:val="00502D5B"/>
    <w:rsid w:val="00502EEF"/>
    <w:rsid w:val="00503320"/>
    <w:rsid w:val="00504F51"/>
    <w:rsid w:val="00506705"/>
    <w:rsid w:val="00507DEE"/>
    <w:rsid w:val="00511D6B"/>
    <w:rsid w:val="0051542B"/>
    <w:rsid w:val="00520A5D"/>
    <w:rsid w:val="0052407D"/>
    <w:rsid w:val="00525767"/>
    <w:rsid w:val="00532718"/>
    <w:rsid w:val="00537CA2"/>
    <w:rsid w:val="00542D93"/>
    <w:rsid w:val="00544B2D"/>
    <w:rsid w:val="005468CC"/>
    <w:rsid w:val="00547BB1"/>
    <w:rsid w:val="00551868"/>
    <w:rsid w:val="005608CE"/>
    <w:rsid w:val="00565529"/>
    <w:rsid w:val="00565B8F"/>
    <w:rsid w:val="00567B69"/>
    <w:rsid w:val="005703D6"/>
    <w:rsid w:val="00571676"/>
    <w:rsid w:val="00571833"/>
    <w:rsid w:val="005731AA"/>
    <w:rsid w:val="0057770A"/>
    <w:rsid w:val="00581E9A"/>
    <w:rsid w:val="00581FAF"/>
    <w:rsid w:val="00583710"/>
    <w:rsid w:val="005848B5"/>
    <w:rsid w:val="00585481"/>
    <w:rsid w:val="0059328D"/>
    <w:rsid w:val="00595B92"/>
    <w:rsid w:val="005A0C18"/>
    <w:rsid w:val="005A2816"/>
    <w:rsid w:val="005A3E8D"/>
    <w:rsid w:val="005A6B47"/>
    <w:rsid w:val="005A6F14"/>
    <w:rsid w:val="005A6FE1"/>
    <w:rsid w:val="005B070E"/>
    <w:rsid w:val="005B0B32"/>
    <w:rsid w:val="005B16BA"/>
    <w:rsid w:val="005B6817"/>
    <w:rsid w:val="005C14D2"/>
    <w:rsid w:val="005C1AE1"/>
    <w:rsid w:val="005C3F1C"/>
    <w:rsid w:val="005C42E0"/>
    <w:rsid w:val="005C4C4D"/>
    <w:rsid w:val="005C7F22"/>
    <w:rsid w:val="005D47A2"/>
    <w:rsid w:val="005D7DBB"/>
    <w:rsid w:val="005E204C"/>
    <w:rsid w:val="005E2311"/>
    <w:rsid w:val="005E257C"/>
    <w:rsid w:val="005F1B03"/>
    <w:rsid w:val="005F1C5E"/>
    <w:rsid w:val="005F2CB6"/>
    <w:rsid w:val="00604C77"/>
    <w:rsid w:val="0061404E"/>
    <w:rsid w:val="00624AE1"/>
    <w:rsid w:val="00624DD7"/>
    <w:rsid w:val="00625DF6"/>
    <w:rsid w:val="00626770"/>
    <w:rsid w:val="00627FFD"/>
    <w:rsid w:val="0063270F"/>
    <w:rsid w:val="00633094"/>
    <w:rsid w:val="0064389B"/>
    <w:rsid w:val="006441E8"/>
    <w:rsid w:val="00645E7A"/>
    <w:rsid w:val="00646D81"/>
    <w:rsid w:val="00650829"/>
    <w:rsid w:val="0065296C"/>
    <w:rsid w:val="00655DDD"/>
    <w:rsid w:val="006572E6"/>
    <w:rsid w:val="00674A25"/>
    <w:rsid w:val="0067580D"/>
    <w:rsid w:val="00677A34"/>
    <w:rsid w:val="006833EC"/>
    <w:rsid w:val="00683456"/>
    <w:rsid w:val="0069068E"/>
    <w:rsid w:val="00693671"/>
    <w:rsid w:val="006A1E7C"/>
    <w:rsid w:val="006A2815"/>
    <w:rsid w:val="006A3E20"/>
    <w:rsid w:val="006A524B"/>
    <w:rsid w:val="006A7093"/>
    <w:rsid w:val="006B15BE"/>
    <w:rsid w:val="006B1C7F"/>
    <w:rsid w:val="006B1F93"/>
    <w:rsid w:val="006B41DA"/>
    <w:rsid w:val="006C2403"/>
    <w:rsid w:val="006C3B6D"/>
    <w:rsid w:val="006C5151"/>
    <w:rsid w:val="006C63EC"/>
    <w:rsid w:val="006D52B8"/>
    <w:rsid w:val="006E1FF6"/>
    <w:rsid w:val="006E274F"/>
    <w:rsid w:val="006E4274"/>
    <w:rsid w:val="006E52C2"/>
    <w:rsid w:val="006E5D4F"/>
    <w:rsid w:val="006F0339"/>
    <w:rsid w:val="006F0BF4"/>
    <w:rsid w:val="006F189E"/>
    <w:rsid w:val="006F1E86"/>
    <w:rsid w:val="006F4256"/>
    <w:rsid w:val="006F4C78"/>
    <w:rsid w:val="006F7035"/>
    <w:rsid w:val="007054F4"/>
    <w:rsid w:val="00705C22"/>
    <w:rsid w:val="00707A5D"/>
    <w:rsid w:val="00707EC6"/>
    <w:rsid w:val="00710D25"/>
    <w:rsid w:val="00713671"/>
    <w:rsid w:val="007142DC"/>
    <w:rsid w:val="007147A1"/>
    <w:rsid w:val="00717914"/>
    <w:rsid w:val="007201E1"/>
    <w:rsid w:val="00721B9A"/>
    <w:rsid w:val="00723D94"/>
    <w:rsid w:val="00725068"/>
    <w:rsid w:val="007277A3"/>
    <w:rsid w:val="00732AAA"/>
    <w:rsid w:val="007361A6"/>
    <w:rsid w:val="00737B08"/>
    <w:rsid w:val="0074113D"/>
    <w:rsid w:val="0074247B"/>
    <w:rsid w:val="007437DC"/>
    <w:rsid w:val="00743F1A"/>
    <w:rsid w:val="007500D2"/>
    <w:rsid w:val="00753FF3"/>
    <w:rsid w:val="007623DC"/>
    <w:rsid w:val="00762F25"/>
    <w:rsid w:val="00771DA6"/>
    <w:rsid w:val="00771E5D"/>
    <w:rsid w:val="0077289E"/>
    <w:rsid w:val="0077657E"/>
    <w:rsid w:val="007777EE"/>
    <w:rsid w:val="0078303D"/>
    <w:rsid w:val="00790318"/>
    <w:rsid w:val="007921E7"/>
    <w:rsid w:val="00792751"/>
    <w:rsid w:val="007937D4"/>
    <w:rsid w:val="00797379"/>
    <w:rsid w:val="007A0014"/>
    <w:rsid w:val="007A6441"/>
    <w:rsid w:val="007A7E03"/>
    <w:rsid w:val="007B502F"/>
    <w:rsid w:val="007B5990"/>
    <w:rsid w:val="007B5B2D"/>
    <w:rsid w:val="007C148D"/>
    <w:rsid w:val="007D08CF"/>
    <w:rsid w:val="007D22DA"/>
    <w:rsid w:val="007E1128"/>
    <w:rsid w:val="007E27D1"/>
    <w:rsid w:val="007E6AA3"/>
    <w:rsid w:val="007F6DCC"/>
    <w:rsid w:val="007F76A5"/>
    <w:rsid w:val="00803118"/>
    <w:rsid w:val="0080348E"/>
    <w:rsid w:val="00804EF9"/>
    <w:rsid w:val="00805CA2"/>
    <w:rsid w:val="00806AFE"/>
    <w:rsid w:val="00814615"/>
    <w:rsid w:val="008166F8"/>
    <w:rsid w:val="00820B22"/>
    <w:rsid w:val="00826BE8"/>
    <w:rsid w:val="00834A2C"/>
    <w:rsid w:val="00837C97"/>
    <w:rsid w:val="008454B2"/>
    <w:rsid w:val="00850EC4"/>
    <w:rsid w:val="00851FCC"/>
    <w:rsid w:val="00852E1F"/>
    <w:rsid w:val="00853384"/>
    <w:rsid w:val="00853506"/>
    <w:rsid w:val="00853F26"/>
    <w:rsid w:val="008568C6"/>
    <w:rsid w:val="00856BB4"/>
    <w:rsid w:val="00860A61"/>
    <w:rsid w:val="00861527"/>
    <w:rsid w:val="00864848"/>
    <w:rsid w:val="00865BA3"/>
    <w:rsid w:val="0087047C"/>
    <w:rsid w:val="00870D73"/>
    <w:rsid w:val="00881FD7"/>
    <w:rsid w:val="00883EDA"/>
    <w:rsid w:val="00892C9D"/>
    <w:rsid w:val="00893935"/>
    <w:rsid w:val="00893F55"/>
    <w:rsid w:val="008954FA"/>
    <w:rsid w:val="00897680"/>
    <w:rsid w:val="008A6B77"/>
    <w:rsid w:val="008B0C04"/>
    <w:rsid w:val="008B27FC"/>
    <w:rsid w:val="008B3FE3"/>
    <w:rsid w:val="008C3E53"/>
    <w:rsid w:val="008C41C6"/>
    <w:rsid w:val="008D1A72"/>
    <w:rsid w:val="008D3E2D"/>
    <w:rsid w:val="008D6BC7"/>
    <w:rsid w:val="008E66D6"/>
    <w:rsid w:val="008E6CE6"/>
    <w:rsid w:val="008E7186"/>
    <w:rsid w:val="008E753F"/>
    <w:rsid w:val="008F01B9"/>
    <w:rsid w:val="008F300F"/>
    <w:rsid w:val="008F56B2"/>
    <w:rsid w:val="008F60F7"/>
    <w:rsid w:val="008F6CB4"/>
    <w:rsid w:val="008F751D"/>
    <w:rsid w:val="00901A31"/>
    <w:rsid w:val="0090794D"/>
    <w:rsid w:val="0091380F"/>
    <w:rsid w:val="009159AF"/>
    <w:rsid w:val="00917775"/>
    <w:rsid w:val="009249E0"/>
    <w:rsid w:val="00925026"/>
    <w:rsid w:val="00925064"/>
    <w:rsid w:val="00926CBD"/>
    <w:rsid w:val="00927BAB"/>
    <w:rsid w:val="009312CA"/>
    <w:rsid w:val="00935607"/>
    <w:rsid w:val="00937DF0"/>
    <w:rsid w:val="00943CFF"/>
    <w:rsid w:val="00946161"/>
    <w:rsid w:val="009472E7"/>
    <w:rsid w:val="00950613"/>
    <w:rsid w:val="00951309"/>
    <w:rsid w:val="00951C8F"/>
    <w:rsid w:val="00953413"/>
    <w:rsid w:val="00953C5A"/>
    <w:rsid w:val="00957E0D"/>
    <w:rsid w:val="00965F96"/>
    <w:rsid w:val="00966134"/>
    <w:rsid w:val="00967065"/>
    <w:rsid w:val="00977C8A"/>
    <w:rsid w:val="00990CC1"/>
    <w:rsid w:val="00991E93"/>
    <w:rsid w:val="00994AE2"/>
    <w:rsid w:val="009A367F"/>
    <w:rsid w:val="009A53A4"/>
    <w:rsid w:val="009B0F16"/>
    <w:rsid w:val="009B1D57"/>
    <w:rsid w:val="009B1DC5"/>
    <w:rsid w:val="009B2E84"/>
    <w:rsid w:val="009B3BFC"/>
    <w:rsid w:val="009B5598"/>
    <w:rsid w:val="009B71E4"/>
    <w:rsid w:val="009B7EE3"/>
    <w:rsid w:val="009C4799"/>
    <w:rsid w:val="009D07A7"/>
    <w:rsid w:val="009D2541"/>
    <w:rsid w:val="009D41C9"/>
    <w:rsid w:val="009D7F72"/>
    <w:rsid w:val="009E0E1D"/>
    <w:rsid w:val="009E15B1"/>
    <w:rsid w:val="009E4173"/>
    <w:rsid w:val="009E5A3F"/>
    <w:rsid w:val="009F0FE0"/>
    <w:rsid w:val="009F1CD2"/>
    <w:rsid w:val="009F1DF7"/>
    <w:rsid w:val="009F5BA8"/>
    <w:rsid w:val="009F67E8"/>
    <w:rsid w:val="00A03C63"/>
    <w:rsid w:val="00A1107F"/>
    <w:rsid w:val="00A14E74"/>
    <w:rsid w:val="00A16028"/>
    <w:rsid w:val="00A25C5E"/>
    <w:rsid w:val="00A36FF2"/>
    <w:rsid w:val="00A41537"/>
    <w:rsid w:val="00A427AE"/>
    <w:rsid w:val="00A4744B"/>
    <w:rsid w:val="00A56A41"/>
    <w:rsid w:val="00A62BA4"/>
    <w:rsid w:val="00A62BD9"/>
    <w:rsid w:val="00A635A5"/>
    <w:rsid w:val="00A66E27"/>
    <w:rsid w:val="00A75181"/>
    <w:rsid w:val="00A75655"/>
    <w:rsid w:val="00A756D4"/>
    <w:rsid w:val="00A80C50"/>
    <w:rsid w:val="00A83449"/>
    <w:rsid w:val="00A835E3"/>
    <w:rsid w:val="00A85448"/>
    <w:rsid w:val="00A90208"/>
    <w:rsid w:val="00A93F0E"/>
    <w:rsid w:val="00A94A4B"/>
    <w:rsid w:val="00A97A76"/>
    <w:rsid w:val="00AA192B"/>
    <w:rsid w:val="00AA5241"/>
    <w:rsid w:val="00AA6110"/>
    <w:rsid w:val="00AA6419"/>
    <w:rsid w:val="00AB1081"/>
    <w:rsid w:val="00AB3DB4"/>
    <w:rsid w:val="00AB55A0"/>
    <w:rsid w:val="00AB5CB8"/>
    <w:rsid w:val="00AC3BA9"/>
    <w:rsid w:val="00AC4741"/>
    <w:rsid w:val="00AD53F3"/>
    <w:rsid w:val="00AE12B4"/>
    <w:rsid w:val="00AE1DD4"/>
    <w:rsid w:val="00AE7176"/>
    <w:rsid w:val="00AE7D45"/>
    <w:rsid w:val="00AF4EC4"/>
    <w:rsid w:val="00AF5049"/>
    <w:rsid w:val="00AF52CF"/>
    <w:rsid w:val="00B066FC"/>
    <w:rsid w:val="00B1454E"/>
    <w:rsid w:val="00B1467F"/>
    <w:rsid w:val="00B14840"/>
    <w:rsid w:val="00B16284"/>
    <w:rsid w:val="00B16491"/>
    <w:rsid w:val="00B176A8"/>
    <w:rsid w:val="00B21398"/>
    <w:rsid w:val="00B223FE"/>
    <w:rsid w:val="00B30048"/>
    <w:rsid w:val="00B3295F"/>
    <w:rsid w:val="00B33B51"/>
    <w:rsid w:val="00B33C56"/>
    <w:rsid w:val="00B4171F"/>
    <w:rsid w:val="00B54988"/>
    <w:rsid w:val="00B6403E"/>
    <w:rsid w:val="00B64066"/>
    <w:rsid w:val="00B71148"/>
    <w:rsid w:val="00B720DC"/>
    <w:rsid w:val="00B738CD"/>
    <w:rsid w:val="00B748A3"/>
    <w:rsid w:val="00B74DF2"/>
    <w:rsid w:val="00B7551D"/>
    <w:rsid w:val="00B80C2B"/>
    <w:rsid w:val="00B8108E"/>
    <w:rsid w:val="00B81E0D"/>
    <w:rsid w:val="00B833CA"/>
    <w:rsid w:val="00B92DDE"/>
    <w:rsid w:val="00B96FCA"/>
    <w:rsid w:val="00B97BFC"/>
    <w:rsid w:val="00BA16CD"/>
    <w:rsid w:val="00BA45E7"/>
    <w:rsid w:val="00BA5CED"/>
    <w:rsid w:val="00BA64EA"/>
    <w:rsid w:val="00BA6C94"/>
    <w:rsid w:val="00BB1771"/>
    <w:rsid w:val="00BB20ED"/>
    <w:rsid w:val="00BB33CC"/>
    <w:rsid w:val="00BC181E"/>
    <w:rsid w:val="00BC26F8"/>
    <w:rsid w:val="00BC6365"/>
    <w:rsid w:val="00BD14B3"/>
    <w:rsid w:val="00BD2832"/>
    <w:rsid w:val="00BD28D9"/>
    <w:rsid w:val="00BD49E2"/>
    <w:rsid w:val="00BD4D73"/>
    <w:rsid w:val="00BD5163"/>
    <w:rsid w:val="00BD5C62"/>
    <w:rsid w:val="00BD6DF3"/>
    <w:rsid w:val="00BD7A7A"/>
    <w:rsid w:val="00BE0978"/>
    <w:rsid w:val="00BE29AF"/>
    <w:rsid w:val="00BE3CD9"/>
    <w:rsid w:val="00BE64FD"/>
    <w:rsid w:val="00BE6F2C"/>
    <w:rsid w:val="00BE742F"/>
    <w:rsid w:val="00BE7602"/>
    <w:rsid w:val="00BF44C8"/>
    <w:rsid w:val="00C02F5F"/>
    <w:rsid w:val="00C02F81"/>
    <w:rsid w:val="00C03793"/>
    <w:rsid w:val="00C03FCD"/>
    <w:rsid w:val="00C05F72"/>
    <w:rsid w:val="00C07753"/>
    <w:rsid w:val="00C11EF2"/>
    <w:rsid w:val="00C15CA3"/>
    <w:rsid w:val="00C1741D"/>
    <w:rsid w:val="00C17F01"/>
    <w:rsid w:val="00C22918"/>
    <w:rsid w:val="00C23CFE"/>
    <w:rsid w:val="00C258FB"/>
    <w:rsid w:val="00C3013D"/>
    <w:rsid w:val="00C332DF"/>
    <w:rsid w:val="00C3677D"/>
    <w:rsid w:val="00C41A33"/>
    <w:rsid w:val="00C466B7"/>
    <w:rsid w:val="00C46FF8"/>
    <w:rsid w:val="00C4740B"/>
    <w:rsid w:val="00C55318"/>
    <w:rsid w:val="00C60247"/>
    <w:rsid w:val="00C72C30"/>
    <w:rsid w:val="00C76C48"/>
    <w:rsid w:val="00C80480"/>
    <w:rsid w:val="00C932D9"/>
    <w:rsid w:val="00C93637"/>
    <w:rsid w:val="00CA0128"/>
    <w:rsid w:val="00CA2551"/>
    <w:rsid w:val="00CA4F08"/>
    <w:rsid w:val="00CA511F"/>
    <w:rsid w:val="00CB14BF"/>
    <w:rsid w:val="00CB3B19"/>
    <w:rsid w:val="00CB3F89"/>
    <w:rsid w:val="00CB4321"/>
    <w:rsid w:val="00CB72DD"/>
    <w:rsid w:val="00CC0ACA"/>
    <w:rsid w:val="00CC1871"/>
    <w:rsid w:val="00CC29D7"/>
    <w:rsid w:val="00CD3464"/>
    <w:rsid w:val="00CD59EB"/>
    <w:rsid w:val="00CD6E7E"/>
    <w:rsid w:val="00CE0DA7"/>
    <w:rsid w:val="00CE2741"/>
    <w:rsid w:val="00CF3550"/>
    <w:rsid w:val="00D019B1"/>
    <w:rsid w:val="00D049D2"/>
    <w:rsid w:val="00D07CF9"/>
    <w:rsid w:val="00D105C9"/>
    <w:rsid w:val="00D2021A"/>
    <w:rsid w:val="00D214ED"/>
    <w:rsid w:val="00D21525"/>
    <w:rsid w:val="00D21BA2"/>
    <w:rsid w:val="00D239F1"/>
    <w:rsid w:val="00D26C11"/>
    <w:rsid w:val="00D3041F"/>
    <w:rsid w:val="00D31C9D"/>
    <w:rsid w:val="00D32D9D"/>
    <w:rsid w:val="00D42D4F"/>
    <w:rsid w:val="00D43A29"/>
    <w:rsid w:val="00D44C64"/>
    <w:rsid w:val="00D45D41"/>
    <w:rsid w:val="00D561AE"/>
    <w:rsid w:val="00D6228B"/>
    <w:rsid w:val="00D72543"/>
    <w:rsid w:val="00D7274D"/>
    <w:rsid w:val="00D738D7"/>
    <w:rsid w:val="00D73E5A"/>
    <w:rsid w:val="00D746ED"/>
    <w:rsid w:val="00D76276"/>
    <w:rsid w:val="00D77860"/>
    <w:rsid w:val="00D77CB2"/>
    <w:rsid w:val="00D83DF3"/>
    <w:rsid w:val="00D871C3"/>
    <w:rsid w:val="00D90985"/>
    <w:rsid w:val="00D936D6"/>
    <w:rsid w:val="00D94139"/>
    <w:rsid w:val="00D95732"/>
    <w:rsid w:val="00DA02E7"/>
    <w:rsid w:val="00DA09E0"/>
    <w:rsid w:val="00DA5D45"/>
    <w:rsid w:val="00DA69C8"/>
    <w:rsid w:val="00DB2C09"/>
    <w:rsid w:val="00DB3BCE"/>
    <w:rsid w:val="00DB5831"/>
    <w:rsid w:val="00DB5BDF"/>
    <w:rsid w:val="00DB5EEB"/>
    <w:rsid w:val="00DC0AED"/>
    <w:rsid w:val="00DC2A0D"/>
    <w:rsid w:val="00DC4346"/>
    <w:rsid w:val="00DC51F4"/>
    <w:rsid w:val="00DD620E"/>
    <w:rsid w:val="00DD671C"/>
    <w:rsid w:val="00DD78AB"/>
    <w:rsid w:val="00DE2A60"/>
    <w:rsid w:val="00DE3B1F"/>
    <w:rsid w:val="00DE522B"/>
    <w:rsid w:val="00DE59E2"/>
    <w:rsid w:val="00DE681F"/>
    <w:rsid w:val="00DE79A5"/>
    <w:rsid w:val="00DF0CCA"/>
    <w:rsid w:val="00DF3A38"/>
    <w:rsid w:val="00DF6EF2"/>
    <w:rsid w:val="00E014C7"/>
    <w:rsid w:val="00E04798"/>
    <w:rsid w:val="00E1327E"/>
    <w:rsid w:val="00E13C4E"/>
    <w:rsid w:val="00E2599A"/>
    <w:rsid w:val="00E27407"/>
    <w:rsid w:val="00E27DD8"/>
    <w:rsid w:val="00E27F60"/>
    <w:rsid w:val="00E32FBD"/>
    <w:rsid w:val="00E40547"/>
    <w:rsid w:val="00E42262"/>
    <w:rsid w:val="00E438D0"/>
    <w:rsid w:val="00E43E95"/>
    <w:rsid w:val="00E44A53"/>
    <w:rsid w:val="00E50C9C"/>
    <w:rsid w:val="00E50F82"/>
    <w:rsid w:val="00E54F10"/>
    <w:rsid w:val="00E56DCA"/>
    <w:rsid w:val="00E63F1F"/>
    <w:rsid w:val="00E66028"/>
    <w:rsid w:val="00E67000"/>
    <w:rsid w:val="00E67CBC"/>
    <w:rsid w:val="00E73D0A"/>
    <w:rsid w:val="00E740B1"/>
    <w:rsid w:val="00E77313"/>
    <w:rsid w:val="00E80847"/>
    <w:rsid w:val="00E812F9"/>
    <w:rsid w:val="00E81E41"/>
    <w:rsid w:val="00E8300D"/>
    <w:rsid w:val="00E838B4"/>
    <w:rsid w:val="00E85154"/>
    <w:rsid w:val="00E8675B"/>
    <w:rsid w:val="00E876D1"/>
    <w:rsid w:val="00E94D15"/>
    <w:rsid w:val="00E95AB6"/>
    <w:rsid w:val="00E964EB"/>
    <w:rsid w:val="00E97CE5"/>
    <w:rsid w:val="00EA0185"/>
    <w:rsid w:val="00EA17A3"/>
    <w:rsid w:val="00EA1D1D"/>
    <w:rsid w:val="00EA5DC7"/>
    <w:rsid w:val="00EA6610"/>
    <w:rsid w:val="00EA7C62"/>
    <w:rsid w:val="00EB1E20"/>
    <w:rsid w:val="00EB5309"/>
    <w:rsid w:val="00EB71F3"/>
    <w:rsid w:val="00EC1A83"/>
    <w:rsid w:val="00EC27C0"/>
    <w:rsid w:val="00EC720D"/>
    <w:rsid w:val="00ED1210"/>
    <w:rsid w:val="00ED17A3"/>
    <w:rsid w:val="00ED3A97"/>
    <w:rsid w:val="00ED4BD8"/>
    <w:rsid w:val="00ED605C"/>
    <w:rsid w:val="00ED6D86"/>
    <w:rsid w:val="00ED7754"/>
    <w:rsid w:val="00EE1B00"/>
    <w:rsid w:val="00EE69BF"/>
    <w:rsid w:val="00EF596C"/>
    <w:rsid w:val="00F069AD"/>
    <w:rsid w:val="00F17AA9"/>
    <w:rsid w:val="00F218BB"/>
    <w:rsid w:val="00F22B1B"/>
    <w:rsid w:val="00F25E72"/>
    <w:rsid w:val="00F3185B"/>
    <w:rsid w:val="00F3425D"/>
    <w:rsid w:val="00F36028"/>
    <w:rsid w:val="00F416AB"/>
    <w:rsid w:val="00F416C5"/>
    <w:rsid w:val="00F4308D"/>
    <w:rsid w:val="00F4620E"/>
    <w:rsid w:val="00F47EBD"/>
    <w:rsid w:val="00F64207"/>
    <w:rsid w:val="00F722AC"/>
    <w:rsid w:val="00F77033"/>
    <w:rsid w:val="00F840A0"/>
    <w:rsid w:val="00F87646"/>
    <w:rsid w:val="00F90B29"/>
    <w:rsid w:val="00F914FA"/>
    <w:rsid w:val="00F91ED5"/>
    <w:rsid w:val="00F92E29"/>
    <w:rsid w:val="00F94707"/>
    <w:rsid w:val="00F9584C"/>
    <w:rsid w:val="00F95879"/>
    <w:rsid w:val="00F95ED0"/>
    <w:rsid w:val="00FA0040"/>
    <w:rsid w:val="00FA3231"/>
    <w:rsid w:val="00FA6080"/>
    <w:rsid w:val="00FA68C2"/>
    <w:rsid w:val="00FA6972"/>
    <w:rsid w:val="00FB095B"/>
    <w:rsid w:val="00FB0DCA"/>
    <w:rsid w:val="00FB7C12"/>
    <w:rsid w:val="00FC2085"/>
    <w:rsid w:val="00FC4434"/>
    <w:rsid w:val="00FC68BA"/>
    <w:rsid w:val="00FC7639"/>
    <w:rsid w:val="00FD6120"/>
    <w:rsid w:val="00FE1623"/>
    <w:rsid w:val="00FE34EE"/>
    <w:rsid w:val="00FE4AB7"/>
    <w:rsid w:val="00FE4D1E"/>
    <w:rsid w:val="00FF0FBB"/>
    <w:rsid w:val="00FF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4FFFD742"/>
  <w15:docId w15:val="{EA626DC5-29C6-4059-83F6-7E33D298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655"/>
    <w:pPr>
      <w:suppressLineNumbers/>
      <w:tabs>
        <w:tab w:val="left" w:pos="907"/>
        <w:tab w:val="right" w:pos="9185"/>
      </w:tabs>
      <w:suppressAutoHyphens/>
      <w:spacing w:line="280" w:lineRule="exact"/>
      <w:jc w:val="both"/>
    </w:pPr>
    <w:rPr>
      <w:sz w:val="24"/>
    </w:rPr>
  </w:style>
  <w:style w:type="paragraph" w:styleId="Heading1">
    <w:name w:val="heading 1"/>
    <w:basedOn w:val="Normal"/>
    <w:next w:val="SectionTitle"/>
    <w:qFormat/>
    <w:rsid w:val="00A75655"/>
    <w:pPr>
      <w:keepNext/>
      <w:keepLines/>
      <w:pageBreakBefore/>
      <w:framePr w:w="1134" w:hSpace="181" w:wrap="around" w:vAnchor="page" w:hAnchor="margin" w:x="-339" w:yAlign="top" w:anchorLock="1"/>
      <w:numPr>
        <w:numId w:val="6"/>
      </w:numPr>
      <w:spacing w:before="640" w:line="240" w:lineRule="auto"/>
      <w:ind w:left="360"/>
      <w:jc w:val="center"/>
      <w:outlineLvl w:val="0"/>
    </w:pPr>
    <w:rPr>
      <w:smallCaps/>
      <w:spacing w:val="-60"/>
      <w:sz w:val="90"/>
    </w:rPr>
  </w:style>
  <w:style w:type="paragraph" w:styleId="Heading2">
    <w:name w:val="heading 2"/>
    <w:basedOn w:val="Normal"/>
    <w:qFormat/>
    <w:rsid w:val="00A75655"/>
    <w:pPr>
      <w:numPr>
        <w:ilvl w:val="1"/>
        <w:numId w:val="6"/>
      </w:numPr>
      <w:spacing w:before="140" w:after="140"/>
      <w:outlineLvl w:val="1"/>
    </w:pPr>
  </w:style>
  <w:style w:type="paragraph" w:styleId="Heading3">
    <w:name w:val="heading 3"/>
    <w:basedOn w:val="Normal"/>
    <w:next w:val="SectionTitle"/>
    <w:qFormat/>
    <w:rsid w:val="00A75655"/>
    <w:pPr>
      <w:keepNext/>
      <w:keepLines/>
      <w:pageBreakBefore/>
      <w:framePr w:w="1134" w:hSpace="181" w:wrap="around" w:vAnchor="page" w:hAnchor="margin" w:x="-339" w:yAlign="top" w:anchorLock="1"/>
      <w:numPr>
        <w:ilvl w:val="2"/>
        <w:numId w:val="6"/>
      </w:numPr>
      <w:tabs>
        <w:tab w:val="num" w:pos="1080"/>
      </w:tabs>
      <w:spacing w:before="640" w:line="240" w:lineRule="auto"/>
      <w:ind w:left="0" w:firstLine="0"/>
      <w:jc w:val="center"/>
      <w:outlineLvl w:val="2"/>
    </w:pPr>
    <w:rPr>
      <w:smallCaps/>
      <w:spacing w:val="-60"/>
      <w:sz w:val="90"/>
    </w:rPr>
  </w:style>
  <w:style w:type="paragraph" w:styleId="Heading4">
    <w:name w:val="heading 4"/>
    <w:basedOn w:val="Normal"/>
    <w:link w:val="Heading4Char"/>
    <w:qFormat/>
    <w:rsid w:val="00A75655"/>
    <w:pPr>
      <w:numPr>
        <w:ilvl w:val="3"/>
        <w:numId w:val="6"/>
      </w:numPr>
      <w:tabs>
        <w:tab w:val="num" w:pos="907"/>
      </w:tabs>
      <w:spacing w:before="140" w:after="140"/>
      <w:ind w:left="1728" w:hanging="907"/>
      <w:outlineLvl w:val="3"/>
    </w:pPr>
  </w:style>
  <w:style w:type="paragraph" w:styleId="Heading5">
    <w:name w:val="heading 5"/>
    <w:basedOn w:val="NormalIndent"/>
    <w:qFormat/>
    <w:rsid w:val="00A75655"/>
    <w:pPr>
      <w:numPr>
        <w:ilvl w:val="4"/>
        <w:numId w:val="6"/>
      </w:numPr>
      <w:tabs>
        <w:tab w:val="clear" w:pos="907"/>
        <w:tab w:val="left" w:pos="1276"/>
        <w:tab w:val="num" w:pos="1627"/>
      </w:tabs>
      <w:spacing w:before="70" w:after="70"/>
      <w:ind w:left="2232" w:hanging="397"/>
      <w:outlineLvl w:val="4"/>
    </w:pPr>
  </w:style>
  <w:style w:type="paragraph" w:styleId="Heading6">
    <w:name w:val="heading 6"/>
    <w:basedOn w:val="Normal"/>
    <w:qFormat/>
    <w:rsid w:val="00A75655"/>
    <w:pPr>
      <w:numPr>
        <w:ilvl w:val="5"/>
        <w:numId w:val="6"/>
      </w:numPr>
      <w:tabs>
        <w:tab w:val="clear" w:pos="907"/>
        <w:tab w:val="left" w:pos="1304"/>
        <w:tab w:val="num" w:pos="1627"/>
      </w:tabs>
      <w:ind w:left="1304" w:hanging="397"/>
      <w:outlineLvl w:val="5"/>
    </w:pPr>
  </w:style>
  <w:style w:type="paragraph" w:styleId="Heading7">
    <w:name w:val="heading 7"/>
    <w:basedOn w:val="Normal"/>
    <w:qFormat/>
    <w:rsid w:val="00A75655"/>
    <w:pPr>
      <w:numPr>
        <w:ilvl w:val="6"/>
        <w:numId w:val="6"/>
      </w:numPr>
      <w:tabs>
        <w:tab w:val="clear" w:pos="907"/>
        <w:tab w:val="left" w:pos="1644"/>
        <w:tab w:val="num" w:pos="2024"/>
      </w:tabs>
      <w:ind w:left="3240" w:hanging="340"/>
      <w:outlineLvl w:val="6"/>
    </w:pPr>
  </w:style>
  <w:style w:type="paragraph" w:styleId="Heading8">
    <w:name w:val="heading 8"/>
    <w:basedOn w:val="Normal"/>
    <w:qFormat/>
    <w:rsid w:val="00A75655"/>
    <w:pPr>
      <w:numPr>
        <w:ilvl w:val="7"/>
        <w:numId w:val="6"/>
      </w:numPr>
      <w:tabs>
        <w:tab w:val="clear" w:pos="907"/>
        <w:tab w:val="num" w:pos="1304"/>
      </w:tabs>
      <w:ind w:left="1304" w:hanging="397"/>
      <w:outlineLvl w:val="7"/>
    </w:pPr>
  </w:style>
  <w:style w:type="paragraph" w:styleId="Heading9">
    <w:name w:val="heading 9"/>
    <w:basedOn w:val="Normal"/>
    <w:qFormat/>
    <w:rsid w:val="00A75655"/>
    <w:pPr>
      <w:numPr>
        <w:ilvl w:val="8"/>
        <w:numId w:val="6"/>
      </w:numPr>
      <w:tabs>
        <w:tab w:val="clear" w:pos="907"/>
        <w:tab w:val="num" w:pos="1701"/>
      </w:tabs>
      <w:ind w:left="1701" w:hanging="39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5655"/>
    <w:pPr>
      <w:spacing w:before="140" w:after="140"/>
    </w:pPr>
  </w:style>
  <w:style w:type="paragraph" w:styleId="BodyTextIndent">
    <w:name w:val="Body Text Indent"/>
    <w:basedOn w:val="BodyText"/>
    <w:rsid w:val="00A75655"/>
    <w:pPr>
      <w:ind w:left="907"/>
    </w:pPr>
  </w:style>
  <w:style w:type="paragraph" w:styleId="CommentText">
    <w:name w:val="annotation text"/>
    <w:basedOn w:val="Normal"/>
    <w:link w:val="CommentTextChar"/>
    <w:semiHidden/>
    <w:rsid w:val="00A75655"/>
    <w:pPr>
      <w:jc w:val="left"/>
    </w:pPr>
  </w:style>
  <w:style w:type="paragraph" w:styleId="ListBullet2">
    <w:name w:val="List Bullet 2"/>
    <w:basedOn w:val="Normal"/>
    <w:rsid w:val="00A75655"/>
    <w:pPr>
      <w:numPr>
        <w:numId w:val="5"/>
      </w:numPr>
      <w:tabs>
        <w:tab w:val="clear" w:pos="907"/>
        <w:tab w:val="clear" w:pos="1438"/>
        <w:tab w:val="clear" w:pos="9185"/>
        <w:tab w:val="num" w:pos="1701"/>
        <w:tab w:val="right" w:pos="9412"/>
      </w:tabs>
      <w:spacing w:before="70" w:after="70" w:line="280" w:lineRule="atLeast"/>
      <w:ind w:left="1701" w:hanging="397"/>
    </w:pPr>
  </w:style>
  <w:style w:type="paragraph" w:styleId="Caption">
    <w:name w:val="caption"/>
    <w:basedOn w:val="BodyTextIndent"/>
    <w:next w:val="Normal"/>
    <w:qFormat/>
    <w:rsid w:val="00A75655"/>
    <w:pPr>
      <w:jc w:val="left"/>
    </w:pPr>
    <w:rPr>
      <w:b/>
    </w:rPr>
  </w:style>
  <w:style w:type="paragraph" w:styleId="Closing">
    <w:name w:val="Closing"/>
    <w:basedOn w:val="Normal"/>
    <w:rsid w:val="00A75655"/>
    <w:pPr>
      <w:jc w:val="left"/>
    </w:pPr>
  </w:style>
  <w:style w:type="character" w:styleId="EndnoteReference">
    <w:name w:val="endnote reference"/>
    <w:semiHidden/>
    <w:rsid w:val="00A75655"/>
    <w:rPr>
      <w:vertAlign w:val="superscript"/>
    </w:rPr>
  </w:style>
  <w:style w:type="paragraph" w:styleId="FootnoteText">
    <w:name w:val="footnote text"/>
    <w:basedOn w:val="Normal"/>
    <w:semiHidden/>
    <w:rsid w:val="00A75655"/>
  </w:style>
  <w:style w:type="character" w:styleId="FootnoteReference">
    <w:name w:val="footnote reference"/>
    <w:semiHidden/>
    <w:rsid w:val="00A75655"/>
    <w:rPr>
      <w:vertAlign w:val="superscript"/>
    </w:rPr>
  </w:style>
  <w:style w:type="paragraph" w:styleId="EndnoteText">
    <w:name w:val="endnote text"/>
    <w:basedOn w:val="Normal"/>
    <w:semiHidden/>
    <w:rsid w:val="00A75655"/>
  </w:style>
  <w:style w:type="paragraph" w:styleId="EnvelopeAddress">
    <w:name w:val="envelope address"/>
    <w:basedOn w:val="Normal"/>
    <w:rsid w:val="00A75655"/>
    <w:pPr>
      <w:framePr w:w="7920" w:h="1980" w:hRule="exact" w:hSpace="180" w:wrap="auto" w:hAnchor="page" w:xAlign="center" w:yAlign="bottom"/>
      <w:jc w:val="left"/>
    </w:pPr>
  </w:style>
  <w:style w:type="paragraph" w:styleId="EnvelopeReturn">
    <w:name w:val="envelope return"/>
    <w:basedOn w:val="Normal"/>
    <w:rsid w:val="00A75655"/>
    <w:pPr>
      <w:jc w:val="left"/>
    </w:pPr>
  </w:style>
  <w:style w:type="paragraph" w:styleId="Footer">
    <w:name w:val="footer"/>
    <w:rsid w:val="00A75655"/>
    <w:pPr>
      <w:jc w:val="center"/>
    </w:pPr>
    <w:rPr>
      <w:noProof/>
      <w:sz w:val="12"/>
    </w:rPr>
  </w:style>
  <w:style w:type="paragraph" w:styleId="Header">
    <w:name w:val="header"/>
    <w:basedOn w:val="Normal"/>
    <w:rsid w:val="00A75655"/>
    <w:pPr>
      <w:jc w:val="left"/>
    </w:pPr>
  </w:style>
  <w:style w:type="paragraph" w:styleId="List">
    <w:name w:val="List"/>
    <w:basedOn w:val="BodyText"/>
    <w:rsid w:val="00A75655"/>
    <w:pPr>
      <w:tabs>
        <w:tab w:val="left" w:pos="1304"/>
        <w:tab w:val="left" w:pos="1701"/>
        <w:tab w:val="left" w:pos="2098"/>
      </w:tabs>
      <w:spacing w:before="70" w:after="70"/>
      <w:ind w:left="907" w:hanging="907"/>
    </w:pPr>
  </w:style>
  <w:style w:type="paragraph" w:styleId="Signature">
    <w:name w:val="Signature"/>
    <w:basedOn w:val="Normal"/>
    <w:rsid w:val="00A75655"/>
  </w:style>
  <w:style w:type="paragraph" w:styleId="TOC9">
    <w:name w:val="toc 9"/>
    <w:basedOn w:val="Normal"/>
    <w:next w:val="Normal"/>
    <w:semiHidden/>
    <w:rsid w:val="00A75655"/>
    <w:pPr>
      <w:tabs>
        <w:tab w:val="right" w:leader="dot" w:pos="8306"/>
      </w:tabs>
      <w:ind w:left="1760"/>
    </w:pPr>
  </w:style>
  <w:style w:type="paragraph" w:styleId="List2">
    <w:name w:val="List 2"/>
    <w:basedOn w:val="List"/>
    <w:rsid w:val="00A75655"/>
    <w:pPr>
      <w:ind w:left="1304" w:hanging="1304"/>
    </w:pPr>
  </w:style>
  <w:style w:type="paragraph" w:styleId="ListNumber2">
    <w:name w:val="List Number 2"/>
    <w:basedOn w:val="Normal"/>
    <w:rsid w:val="00A75655"/>
    <w:pPr>
      <w:spacing w:before="70" w:after="70"/>
      <w:ind w:left="1077" w:hanging="397"/>
    </w:pPr>
  </w:style>
  <w:style w:type="paragraph" w:styleId="ListContinue2">
    <w:name w:val="List Continue 2"/>
    <w:basedOn w:val="ListContinue"/>
    <w:rsid w:val="00A75655"/>
    <w:pPr>
      <w:spacing w:before="70" w:after="70"/>
      <w:ind w:left="1304"/>
    </w:pPr>
  </w:style>
  <w:style w:type="paragraph" w:styleId="ListBullet">
    <w:name w:val="List Bullet"/>
    <w:basedOn w:val="Normal"/>
    <w:rsid w:val="00A75655"/>
    <w:pPr>
      <w:numPr>
        <w:numId w:val="4"/>
      </w:numPr>
      <w:tabs>
        <w:tab w:val="clear" w:pos="907"/>
        <w:tab w:val="clear" w:pos="9185"/>
        <w:tab w:val="left" w:pos="1304"/>
        <w:tab w:val="right" w:pos="9412"/>
      </w:tabs>
      <w:spacing w:before="70" w:after="70" w:line="280" w:lineRule="atLeast"/>
    </w:pPr>
  </w:style>
  <w:style w:type="paragraph" w:styleId="ListNumber">
    <w:name w:val="List Number"/>
    <w:basedOn w:val="Normal"/>
    <w:rsid w:val="00A75655"/>
    <w:pPr>
      <w:spacing w:before="140" w:after="140"/>
      <w:ind w:left="680" w:hanging="680"/>
    </w:pPr>
  </w:style>
  <w:style w:type="paragraph" w:styleId="ListNumber3">
    <w:name w:val="List Number 3"/>
    <w:basedOn w:val="Normal"/>
    <w:rsid w:val="00A75655"/>
    <w:pPr>
      <w:ind w:left="1077" w:hanging="397"/>
    </w:pPr>
  </w:style>
  <w:style w:type="paragraph" w:styleId="TableofFigures">
    <w:name w:val="table of figures"/>
    <w:basedOn w:val="Normal"/>
    <w:next w:val="Normal"/>
    <w:semiHidden/>
    <w:rsid w:val="00A75655"/>
    <w:pPr>
      <w:tabs>
        <w:tab w:val="right" w:leader="dot" w:pos="8306"/>
      </w:tabs>
      <w:ind w:left="440" w:hanging="440"/>
    </w:pPr>
  </w:style>
  <w:style w:type="paragraph" w:styleId="TOAHeading">
    <w:name w:val="toa heading"/>
    <w:basedOn w:val="Normal"/>
    <w:next w:val="Normal"/>
    <w:semiHidden/>
    <w:rsid w:val="00A75655"/>
    <w:pPr>
      <w:spacing w:before="120"/>
      <w:jc w:val="left"/>
    </w:pPr>
    <w:rPr>
      <w:b/>
      <w:sz w:val="26"/>
    </w:rPr>
  </w:style>
  <w:style w:type="paragraph" w:styleId="ListNumber4">
    <w:name w:val="List Number 4"/>
    <w:basedOn w:val="Normal"/>
    <w:rsid w:val="00A75655"/>
    <w:pPr>
      <w:ind w:left="1077" w:hanging="397"/>
    </w:pPr>
  </w:style>
  <w:style w:type="paragraph" w:styleId="ListNumber5">
    <w:name w:val="List Number 5"/>
    <w:basedOn w:val="Normal"/>
    <w:rsid w:val="00A75655"/>
    <w:pPr>
      <w:ind w:left="1077" w:hanging="397"/>
    </w:pPr>
  </w:style>
  <w:style w:type="paragraph" w:styleId="ListBullet3">
    <w:name w:val="List Bullet 3"/>
    <w:basedOn w:val="Normal"/>
    <w:rsid w:val="00A75655"/>
    <w:pPr>
      <w:numPr>
        <w:numId w:val="1"/>
      </w:numPr>
      <w:tabs>
        <w:tab w:val="clear" w:pos="907"/>
        <w:tab w:val="clear" w:pos="9185"/>
        <w:tab w:val="left" w:pos="680"/>
        <w:tab w:val="right" w:pos="9412"/>
      </w:tabs>
      <w:spacing w:line="280" w:lineRule="atLeast"/>
      <w:ind w:left="1276" w:hanging="397"/>
    </w:pPr>
  </w:style>
  <w:style w:type="paragraph" w:styleId="ListBullet4">
    <w:name w:val="List Bullet 4"/>
    <w:basedOn w:val="Normal"/>
    <w:rsid w:val="00A75655"/>
    <w:pPr>
      <w:numPr>
        <w:numId w:val="2"/>
      </w:numPr>
      <w:tabs>
        <w:tab w:val="clear" w:pos="907"/>
        <w:tab w:val="clear" w:pos="9185"/>
        <w:tab w:val="left" w:pos="680"/>
        <w:tab w:val="right" w:pos="9412"/>
      </w:tabs>
      <w:spacing w:line="280" w:lineRule="atLeast"/>
      <w:ind w:left="1276" w:hanging="397"/>
    </w:pPr>
  </w:style>
  <w:style w:type="paragraph" w:styleId="ListBullet5">
    <w:name w:val="List Bullet 5"/>
    <w:basedOn w:val="Normal"/>
    <w:rsid w:val="00A75655"/>
    <w:pPr>
      <w:numPr>
        <w:numId w:val="3"/>
      </w:numPr>
      <w:tabs>
        <w:tab w:val="clear" w:pos="907"/>
        <w:tab w:val="clear" w:pos="9185"/>
        <w:tab w:val="left" w:pos="680"/>
        <w:tab w:val="right" w:pos="9412"/>
      </w:tabs>
      <w:spacing w:line="280" w:lineRule="atLeast"/>
      <w:ind w:left="1276" w:hanging="397"/>
    </w:pPr>
  </w:style>
  <w:style w:type="paragraph" w:styleId="ListContinue">
    <w:name w:val="List Continue"/>
    <w:basedOn w:val="Normal"/>
    <w:rsid w:val="00A75655"/>
    <w:pPr>
      <w:tabs>
        <w:tab w:val="clear" w:pos="907"/>
      </w:tabs>
      <w:spacing w:before="140" w:after="140"/>
      <w:ind w:left="907"/>
    </w:pPr>
  </w:style>
  <w:style w:type="paragraph" w:styleId="ListContinue3">
    <w:name w:val="List Continue 3"/>
    <w:basedOn w:val="ListContinue"/>
    <w:rsid w:val="00A75655"/>
    <w:pPr>
      <w:spacing w:before="70" w:after="70"/>
      <w:ind w:left="1644"/>
    </w:pPr>
  </w:style>
  <w:style w:type="character" w:styleId="PageNumber">
    <w:name w:val="page number"/>
    <w:rsid w:val="00A75655"/>
    <w:rPr>
      <w:rFonts w:ascii="Times New Roman" w:hAnsi="Times New Roman"/>
      <w:sz w:val="24"/>
    </w:rPr>
  </w:style>
  <w:style w:type="paragraph" w:customStyle="1" w:styleId="References">
    <w:name w:val="References"/>
    <w:rsid w:val="00A75655"/>
    <w:pPr>
      <w:tabs>
        <w:tab w:val="left" w:pos="1701"/>
      </w:tabs>
      <w:spacing w:line="280" w:lineRule="atLeast"/>
    </w:pPr>
    <w:rPr>
      <w:noProof/>
      <w:sz w:val="14"/>
    </w:rPr>
  </w:style>
  <w:style w:type="paragraph" w:styleId="List3">
    <w:name w:val="List 3"/>
    <w:basedOn w:val="List"/>
    <w:rsid w:val="00A75655"/>
    <w:pPr>
      <w:ind w:left="1644" w:hanging="1644"/>
    </w:pPr>
  </w:style>
  <w:style w:type="paragraph" w:styleId="ListContinue4">
    <w:name w:val="List Continue 4"/>
    <w:basedOn w:val="ListContinue"/>
    <w:rsid w:val="00A75655"/>
    <w:pPr>
      <w:spacing w:before="70" w:after="70"/>
      <w:ind w:left="2098"/>
    </w:pPr>
  </w:style>
  <w:style w:type="paragraph" w:styleId="ListContinue5">
    <w:name w:val="List Continue 5"/>
    <w:basedOn w:val="ListContinue"/>
    <w:rsid w:val="00A75655"/>
    <w:pPr>
      <w:spacing w:before="70" w:after="70"/>
      <w:ind w:left="2495"/>
    </w:pPr>
  </w:style>
  <w:style w:type="paragraph" w:styleId="List4">
    <w:name w:val="List 4"/>
    <w:basedOn w:val="List"/>
    <w:rsid w:val="00A75655"/>
    <w:pPr>
      <w:ind w:left="2098" w:hanging="2098"/>
    </w:pPr>
  </w:style>
  <w:style w:type="paragraph" w:styleId="List5">
    <w:name w:val="List 5"/>
    <w:basedOn w:val="List"/>
    <w:rsid w:val="00A75655"/>
    <w:pPr>
      <w:ind w:left="2495" w:hanging="2495"/>
    </w:pPr>
  </w:style>
  <w:style w:type="paragraph" w:customStyle="1" w:styleId="Banner">
    <w:name w:val="Banner"/>
    <w:rsid w:val="00A75655"/>
    <w:pPr>
      <w:framePr w:h="794" w:hRule="exact" w:wrap="notBeside" w:vAnchor="page" w:hAnchor="margin" w:xAlign="right" w:y="481"/>
      <w:spacing w:before="720" w:line="20" w:lineRule="exact"/>
    </w:pPr>
    <w:rPr>
      <w:i/>
      <w:noProof/>
      <w:sz w:val="96"/>
    </w:rPr>
  </w:style>
  <w:style w:type="paragraph" w:styleId="Subtitle">
    <w:name w:val="Subtitle"/>
    <w:aliases w:val="Subtitle Char"/>
    <w:basedOn w:val="Normal"/>
    <w:next w:val="BodyText"/>
    <w:qFormat/>
    <w:rsid w:val="00A75655"/>
    <w:pPr>
      <w:keepNext/>
      <w:spacing w:before="70"/>
      <w:jc w:val="left"/>
    </w:pPr>
    <w:rPr>
      <w:b/>
    </w:rPr>
  </w:style>
  <w:style w:type="character" w:styleId="CommentReference">
    <w:name w:val="annotation reference"/>
    <w:semiHidden/>
    <w:rsid w:val="00A75655"/>
    <w:rPr>
      <w:sz w:val="16"/>
    </w:rPr>
  </w:style>
  <w:style w:type="character" w:customStyle="1" w:styleId="bannercap">
    <w:name w:val="bannercap"/>
    <w:rsid w:val="00A75655"/>
    <w:rPr>
      <w:rFonts w:ascii="Times New Roman" w:hAnsi="Times New Roman"/>
      <w:i/>
      <w:spacing w:val="-80"/>
      <w:sz w:val="96"/>
    </w:rPr>
  </w:style>
  <w:style w:type="paragraph" w:customStyle="1" w:styleId="TabText">
    <w:name w:val="Tab Text"/>
    <w:basedOn w:val="Normal"/>
    <w:rsid w:val="00A75655"/>
    <w:pPr>
      <w:tabs>
        <w:tab w:val="right" w:pos="9639"/>
      </w:tabs>
      <w:ind w:left="907"/>
      <w:jc w:val="left"/>
    </w:pPr>
  </w:style>
  <w:style w:type="paragraph" w:customStyle="1" w:styleId="TabHeading">
    <w:name w:val="Tab Heading"/>
    <w:basedOn w:val="TabText"/>
    <w:next w:val="TabText"/>
    <w:rsid w:val="00A75655"/>
    <w:pPr>
      <w:keepNext/>
      <w:pBdr>
        <w:top w:val="single" w:sz="6" w:space="3" w:color="auto"/>
        <w:bottom w:val="single" w:sz="6" w:space="3" w:color="auto"/>
      </w:pBdr>
      <w:spacing w:line="240" w:lineRule="auto"/>
    </w:pPr>
    <w:rPr>
      <w:b/>
      <w:sz w:val="18"/>
    </w:rPr>
  </w:style>
  <w:style w:type="paragraph" w:customStyle="1" w:styleId="TabTotal">
    <w:name w:val="Tab Total"/>
    <w:basedOn w:val="TabText"/>
    <w:next w:val="BodyText"/>
    <w:rsid w:val="00A75655"/>
    <w:pPr>
      <w:pBdr>
        <w:top w:val="single" w:sz="6" w:space="3" w:color="auto"/>
        <w:bottom w:val="single" w:sz="18" w:space="3" w:color="auto"/>
      </w:pBdr>
    </w:pPr>
    <w:rPr>
      <w:b/>
    </w:rPr>
  </w:style>
  <w:style w:type="paragraph" w:customStyle="1" w:styleId="TabSubtotal">
    <w:name w:val="Tab Subtotal"/>
    <w:basedOn w:val="TabTotal"/>
    <w:next w:val="TabText"/>
    <w:rsid w:val="00A75655"/>
    <w:pPr>
      <w:pBdr>
        <w:bottom w:val="none" w:sz="0" w:space="0" w:color="auto"/>
      </w:pBdr>
    </w:pPr>
  </w:style>
  <w:style w:type="paragraph" w:customStyle="1" w:styleId="FormInformation">
    <w:name w:val="Form Information"/>
    <w:basedOn w:val="Normal"/>
    <w:rsid w:val="00A75655"/>
    <w:pPr>
      <w:jc w:val="left"/>
    </w:pPr>
    <w:rPr>
      <w:b/>
      <w:spacing w:val="20"/>
      <w:sz w:val="20"/>
    </w:rPr>
  </w:style>
  <w:style w:type="paragraph" w:styleId="MacroText">
    <w:name w:val="macro"/>
    <w:semiHidden/>
    <w:rsid w:val="00A75655"/>
    <w:pPr>
      <w:tabs>
        <w:tab w:val="left" w:pos="480"/>
        <w:tab w:val="left" w:pos="960"/>
        <w:tab w:val="left" w:pos="1440"/>
        <w:tab w:val="left" w:pos="1920"/>
        <w:tab w:val="left" w:pos="2400"/>
        <w:tab w:val="left" w:pos="2880"/>
        <w:tab w:val="left" w:pos="3360"/>
        <w:tab w:val="left" w:pos="3840"/>
        <w:tab w:val="left" w:pos="4320"/>
      </w:tabs>
      <w:suppressAutoHyphens/>
      <w:spacing w:line="280" w:lineRule="atLeast"/>
    </w:pPr>
    <w:rPr>
      <w:rFonts w:ascii="Courier New" w:hAnsi="Courier New"/>
    </w:rPr>
  </w:style>
  <w:style w:type="paragraph" w:styleId="NormalIndent">
    <w:name w:val="Normal Indent"/>
    <w:basedOn w:val="Normal"/>
    <w:rsid w:val="00A75655"/>
    <w:pPr>
      <w:ind w:left="907"/>
    </w:pPr>
  </w:style>
  <w:style w:type="paragraph" w:styleId="Title">
    <w:name w:val="Title"/>
    <w:basedOn w:val="Normal"/>
    <w:next w:val="BodyText"/>
    <w:qFormat/>
    <w:rsid w:val="00A75655"/>
    <w:pPr>
      <w:keepNext/>
      <w:keepLines/>
      <w:tabs>
        <w:tab w:val="left" w:pos="1304"/>
      </w:tabs>
      <w:spacing w:before="140" w:after="140" w:line="240" w:lineRule="auto"/>
      <w:jc w:val="left"/>
    </w:pPr>
    <w:rPr>
      <w:b/>
      <w:sz w:val="26"/>
    </w:rPr>
  </w:style>
  <w:style w:type="paragraph" w:styleId="MessageHeader">
    <w:name w:val="Message Header"/>
    <w:basedOn w:val="Normal"/>
    <w:rsid w:val="00A75655"/>
    <w:pPr>
      <w:ind w:left="1134" w:hanging="1134"/>
    </w:pPr>
  </w:style>
  <w:style w:type="paragraph" w:styleId="Date">
    <w:name w:val="Date"/>
    <w:basedOn w:val="Normal"/>
    <w:next w:val="Normal"/>
    <w:rsid w:val="00A75655"/>
    <w:pPr>
      <w:tabs>
        <w:tab w:val="left" w:pos="7088"/>
      </w:tabs>
      <w:spacing w:before="225" w:after="225"/>
      <w:jc w:val="left"/>
    </w:pPr>
  </w:style>
  <w:style w:type="paragraph" w:styleId="Salutation">
    <w:name w:val="Salutation"/>
    <w:basedOn w:val="Normal"/>
    <w:next w:val="Title"/>
    <w:rsid w:val="00A75655"/>
    <w:pPr>
      <w:spacing w:before="566"/>
    </w:pPr>
  </w:style>
  <w:style w:type="paragraph" w:customStyle="1" w:styleId="TableText">
    <w:name w:val="Table Text"/>
    <w:basedOn w:val="Normal"/>
    <w:rsid w:val="00A75655"/>
    <w:pPr>
      <w:tabs>
        <w:tab w:val="clear" w:pos="9185"/>
      </w:tabs>
      <w:jc w:val="left"/>
    </w:pPr>
  </w:style>
  <w:style w:type="paragraph" w:customStyle="1" w:styleId="TableSmall">
    <w:name w:val="Table Small"/>
    <w:basedOn w:val="Normal"/>
    <w:rsid w:val="00A75655"/>
    <w:pPr>
      <w:tabs>
        <w:tab w:val="clear" w:pos="9185"/>
      </w:tabs>
      <w:jc w:val="left"/>
    </w:pPr>
    <w:rPr>
      <w:sz w:val="16"/>
    </w:rPr>
  </w:style>
  <w:style w:type="paragraph" w:customStyle="1" w:styleId="FormTitles">
    <w:name w:val="Form Titles"/>
    <w:basedOn w:val="Normal"/>
    <w:rsid w:val="00A75655"/>
    <w:pPr>
      <w:spacing w:after="280"/>
      <w:jc w:val="left"/>
    </w:pPr>
    <w:rPr>
      <w:smallCaps/>
    </w:rPr>
  </w:style>
  <w:style w:type="table" w:styleId="TableGrid">
    <w:name w:val="Table Grid"/>
    <w:basedOn w:val="TableNormal"/>
    <w:rsid w:val="00CF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Normal"/>
    <w:next w:val="Heading2"/>
    <w:rsid w:val="00A75655"/>
    <w:pPr>
      <w:framePr w:w="8335" w:h="907" w:hRule="exact" w:hSpace="181" w:wrap="around" w:vAnchor="page" w:hAnchor="text" w:x="908" w:y="863"/>
      <w:spacing w:line="360" w:lineRule="exact"/>
      <w:jc w:val="left"/>
    </w:pPr>
    <w:rPr>
      <w:sz w:val="40"/>
    </w:rPr>
  </w:style>
  <w:style w:type="paragraph" w:customStyle="1" w:styleId="Graphic">
    <w:name w:val="Graphic"/>
    <w:rsid w:val="00A75655"/>
    <w:rPr>
      <w:noProof/>
      <w:sz w:val="24"/>
    </w:rPr>
  </w:style>
  <w:style w:type="character" w:customStyle="1" w:styleId="Heading4Char">
    <w:name w:val="Heading 4 Char"/>
    <w:link w:val="Heading4"/>
    <w:rsid w:val="00CF3550"/>
    <w:rPr>
      <w:sz w:val="24"/>
    </w:rPr>
  </w:style>
  <w:style w:type="paragraph" w:customStyle="1" w:styleId="FormText">
    <w:name w:val="Form Text"/>
    <w:basedOn w:val="TableText"/>
    <w:rsid w:val="00A75655"/>
    <w:pPr>
      <w:spacing w:line="280" w:lineRule="atLeast"/>
    </w:pPr>
    <w:rPr>
      <w:sz w:val="20"/>
    </w:rPr>
  </w:style>
  <w:style w:type="paragraph" w:styleId="BalloonText">
    <w:name w:val="Balloon Text"/>
    <w:basedOn w:val="Normal"/>
    <w:semiHidden/>
    <w:rsid w:val="007921E7"/>
    <w:rPr>
      <w:rFonts w:ascii="Tahoma" w:hAnsi="Tahoma" w:cs="Tahoma"/>
      <w:sz w:val="16"/>
      <w:szCs w:val="16"/>
    </w:rPr>
  </w:style>
  <w:style w:type="paragraph" w:customStyle="1" w:styleId="Office">
    <w:name w:val="Office"/>
    <w:basedOn w:val="Normal"/>
    <w:rsid w:val="00A75655"/>
    <w:pPr>
      <w:tabs>
        <w:tab w:val="clear" w:pos="907"/>
        <w:tab w:val="clear" w:pos="9185"/>
        <w:tab w:val="left" w:pos="680"/>
        <w:tab w:val="right" w:pos="9412"/>
      </w:tabs>
      <w:spacing w:line="280" w:lineRule="atLeast"/>
      <w:jc w:val="left"/>
    </w:pPr>
  </w:style>
  <w:style w:type="character" w:customStyle="1" w:styleId="DeltaViewInsertion">
    <w:name w:val="DeltaView Insertion"/>
    <w:rsid w:val="00E77313"/>
    <w:rPr>
      <w:color w:val="0000FF"/>
      <w:spacing w:val="0"/>
      <w:u w:val="double"/>
    </w:rPr>
  </w:style>
  <w:style w:type="paragraph" w:styleId="TOC1">
    <w:name w:val="toc 1"/>
    <w:basedOn w:val="Normal"/>
    <w:next w:val="Normal"/>
    <w:autoRedefine/>
    <w:semiHidden/>
    <w:rsid w:val="00395A14"/>
    <w:pPr>
      <w:tabs>
        <w:tab w:val="clear" w:pos="907"/>
        <w:tab w:val="clear" w:pos="9185"/>
      </w:tabs>
      <w:spacing w:before="240" w:after="120"/>
      <w:jc w:val="left"/>
    </w:pPr>
    <w:rPr>
      <w:b/>
      <w:bCs/>
      <w:sz w:val="20"/>
    </w:rPr>
  </w:style>
  <w:style w:type="paragraph" w:styleId="TOC2">
    <w:name w:val="toc 2"/>
    <w:basedOn w:val="Normal"/>
    <w:next w:val="Normal"/>
    <w:autoRedefine/>
    <w:semiHidden/>
    <w:rsid w:val="00395A14"/>
    <w:pPr>
      <w:tabs>
        <w:tab w:val="clear" w:pos="907"/>
        <w:tab w:val="clear" w:pos="9185"/>
      </w:tabs>
      <w:spacing w:before="120"/>
      <w:ind w:left="240"/>
      <w:jc w:val="left"/>
    </w:pPr>
    <w:rPr>
      <w:i/>
      <w:iCs/>
      <w:sz w:val="20"/>
    </w:rPr>
  </w:style>
  <w:style w:type="character" w:styleId="Hyperlink">
    <w:name w:val="Hyperlink"/>
    <w:rsid w:val="00395A14"/>
    <w:rPr>
      <w:color w:val="0000FF"/>
      <w:u w:val="single"/>
    </w:rPr>
  </w:style>
  <w:style w:type="paragraph" w:styleId="TOC3">
    <w:name w:val="toc 3"/>
    <w:basedOn w:val="Normal"/>
    <w:next w:val="Normal"/>
    <w:autoRedefine/>
    <w:semiHidden/>
    <w:rsid w:val="00581FAF"/>
    <w:pPr>
      <w:tabs>
        <w:tab w:val="clear" w:pos="907"/>
        <w:tab w:val="clear" w:pos="9185"/>
      </w:tabs>
      <w:ind w:left="480"/>
      <w:jc w:val="left"/>
    </w:pPr>
    <w:rPr>
      <w:sz w:val="20"/>
    </w:rPr>
  </w:style>
  <w:style w:type="paragraph" w:styleId="TOC4">
    <w:name w:val="toc 4"/>
    <w:basedOn w:val="Normal"/>
    <w:next w:val="Normal"/>
    <w:autoRedefine/>
    <w:semiHidden/>
    <w:rsid w:val="00581FAF"/>
    <w:pPr>
      <w:tabs>
        <w:tab w:val="clear" w:pos="907"/>
        <w:tab w:val="clear" w:pos="9185"/>
      </w:tabs>
      <w:ind w:left="720"/>
      <w:jc w:val="left"/>
    </w:pPr>
    <w:rPr>
      <w:sz w:val="20"/>
    </w:rPr>
  </w:style>
  <w:style w:type="paragraph" w:styleId="TOC5">
    <w:name w:val="toc 5"/>
    <w:basedOn w:val="Normal"/>
    <w:next w:val="Normal"/>
    <w:autoRedefine/>
    <w:semiHidden/>
    <w:rsid w:val="00581FAF"/>
    <w:pPr>
      <w:tabs>
        <w:tab w:val="clear" w:pos="907"/>
        <w:tab w:val="clear" w:pos="9185"/>
      </w:tabs>
      <w:ind w:left="960"/>
      <w:jc w:val="left"/>
    </w:pPr>
    <w:rPr>
      <w:sz w:val="20"/>
    </w:rPr>
  </w:style>
  <w:style w:type="paragraph" w:styleId="TOC6">
    <w:name w:val="toc 6"/>
    <w:basedOn w:val="Normal"/>
    <w:next w:val="Normal"/>
    <w:autoRedefine/>
    <w:semiHidden/>
    <w:rsid w:val="00581FAF"/>
    <w:pPr>
      <w:tabs>
        <w:tab w:val="clear" w:pos="907"/>
        <w:tab w:val="clear" w:pos="9185"/>
      </w:tabs>
      <w:ind w:left="1200"/>
      <w:jc w:val="left"/>
    </w:pPr>
    <w:rPr>
      <w:sz w:val="20"/>
    </w:rPr>
  </w:style>
  <w:style w:type="paragraph" w:styleId="TOC7">
    <w:name w:val="toc 7"/>
    <w:basedOn w:val="Normal"/>
    <w:next w:val="Normal"/>
    <w:autoRedefine/>
    <w:semiHidden/>
    <w:rsid w:val="00581FAF"/>
    <w:pPr>
      <w:tabs>
        <w:tab w:val="clear" w:pos="907"/>
        <w:tab w:val="clear" w:pos="9185"/>
      </w:tabs>
      <w:ind w:left="1440"/>
      <w:jc w:val="left"/>
    </w:pPr>
    <w:rPr>
      <w:sz w:val="20"/>
    </w:rPr>
  </w:style>
  <w:style w:type="paragraph" w:styleId="TOC8">
    <w:name w:val="toc 8"/>
    <w:basedOn w:val="Normal"/>
    <w:next w:val="Normal"/>
    <w:autoRedefine/>
    <w:semiHidden/>
    <w:rsid w:val="00581FAF"/>
    <w:pPr>
      <w:tabs>
        <w:tab w:val="clear" w:pos="907"/>
        <w:tab w:val="clear" w:pos="9185"/>
      </w:tabs>
      <w:ind w:left="1680"/>
      <w:jc w:val="left"/>
    </w:pPr>
    <w:rPr>
      <w:sz w:val="20"/>
    </w:rPr>
  </w:style>
  <w:style w:type="paragraph" w:customStyle="1" w:styleId="WW-Bullet1">
    <w:name w:val="#WW-Bullet1"/>
    <w:basedOn w:val="Normal"/>
    <w:uiPriority w:val="99"/>
    <w:rsid w:val="00B92DDE"/>
    <w:pPr>
      <w:numPr>
        <w:ilvl w:val="5"/>
        <w:numId w:val="9"/>
      </w:numPr>
      <w:suppressLineNumbers w:val="0"/>
      <w:tabs>
        <w:tab w:val="clear" w:pos="907"/>
        <w:tab w:val="clear" w:pos="9185"/>
      </w:tabs>
      <w:suppressAutoHyphens w:val="0"/>
      <w:spacing w:after="240" w:line="240" w:lineRule="exact"/>
      <w:jc w:val="left"/>
    </w:pPr>
    <w:rPr>
      <w:rFonts w:ascii="Arial" w:hAnsi="Arial" w:cs="Arial"/>
      <w:sz w:val="20"/>
      <w:lang w:eastAsia="en-US"/>
    </w:rPr>
  </w:style>
  <w:style w:type="paragraph" w:customStyle="1" w:styleId="WW-Bullet3">
    <w:name w:val="#WW-Bullet3"/>
    <w:basedOn w:val="Normal"/>
    <w:uiPriority w:val="99"/>
    <w:rsid w:val="00B92DDE"/>
    <w:pPr>
      <w:numPr>
        <w:ilvl w:val="7"/>
        <w:numId w:val="9"/>
      </w:numPr>
      <w:suppressLineNumbers w:val="0"/>
      <w:tabs>
        <w:tab w:val="clear" w:pos="907"/>
        <w:tab w:val="clear" w:pos="9185"/>
      </w:tabs>
      <w:suppressAutoHyphens w:val="0"/>
      <w:spacing w:after="240" w:line="240" w:lineRule="exact"/>
      <w:jc w:val="left"/>
    </w:pPr>
    <w:rPr>
      <w:rFonts w:ascii="Arial" w:hAnsi="Arial" w:cs="Arial"/>
      <w:sz w:val="20"/>
      <w:lang w:eastAsia="en-US"/>
    </w:rPr>
  </w:style>
  <w:style w:type="paragraph" w:customStyle="1" w:styleId="WW-Bullet2">
    <w:name w:val="#WW-Bullet2"/>
    <w:basedOn w:val="Normal"/>
    <w:uiPriority w:val="99"/>
    <w:rsid w:val="00B92DDE"/>
    <w:pPr>
      <w:numPr>
        <w:ilvl w:val="6"/>
        <w:numId w:val="9"/>
      </w:numPr>
      <w:suppressLineNumbers w:val="0"/>
      <w:tabs>
        <w:tab w:val="clear" w:pos="907"/>
        <w:tab w:val="clear" w:pos="9185"/>
      </w:tabs>
      <w:suppressAutoHyphens w:val="0"/>
      <w:spacing w:after="240" w:line="240" w:lineRule="exact"/>
      <w:jc w:val="left"/>
    </w:pPr>
    <w:rPr>
      <w:rFonts w:ascii="Arial" w:hAnsi="Arial" w:cs="Arial"/>
      <w:sz w:val="20"/>
      <w:lang w:eastAsia="en-US"/>
    </w:rPr>
  </w:style>
  <w:style w:type="paragraph" w:customStyle="1" w:styleId="WW-Bullet4">
    <w:name w:val="#WW-Bullet4"/>
    <w:basedOn w:val="Normal"/>
    <w:uiPriority w:val="99"/>
    <w:rsid w:val="00B92DDE"/>
    <w:pPr>
      <w:numPr>
        <w:ilvl w:val="8"/>
        <w:numId w:val="9"/>
      </w:numPr>
      <w:suppressLineNumbers w:val="0"/>
      <w:tabs>
        <w:tab w:val="clear" w:pos="907"/>
        <w:tab w:val="clear" w:pos="9185"/>
      </w:tabs>
      <w:suppressAutoHyphens w:val="0"/>
      <w:spacing w:after="240" w:line="240" w:lineRule="exact"/>
      <w:jc w:val="left"/>
    </w:pPr>
    <w:rPr>
      <w:rFonts w:ascii="Arial" w:hAnsi="Arial" w:cs="Arial"/>
      <w:sz w:val="20"/>
      <w:lang w:eastAsia="en-US"/>
    </w:rPr>
  </w:style>
  <w:style w:type="paragraph" w:customStyle="1" w:styleId="WW-SectionHeading">
    <w:name w:val="#WW-SectionHeading"/>
    <w:basedOn w:val="Normal"/>
    <w:next w:val="Normal"/>
    <w:uiPriority w:val="99"/>
    <w:rsid w:val="00B92DDE"/>
    <w:pPr>
      <w:numPr>
        <w:numId w:val="9"/>
      </w:numPr>
      <w:suppressLineNumbers w:val="0"/>
      <w:tabs>
        <w:tab w:val="clear" w:pos="907"/>
        <w:tab w:val="clear" w:pos="9185"/>
      </w:tabs>
      <w:suppressAutoHyphens w:val="0"/>
      <w:spacing w:before="120" w:after="480" w:line="240" w:lineRule="auto"/>
      <w:jc w:val="left"/>
    </w:pPr>
    <w:rPr>
      <w:rFonts w:ascii="Arial" w:hAnsi="Arial" w:cs="Arial"/>
      <w:color w:val="0B2265"/>
      <w:sz w:val="48"/>
      <w:szCs w:val="48"/>
      <w:lang w:eastAsia="en-US"/>
    </w:rPr>
  </w:style>
  <w:style w:type="paragraph" w:customStyle="1" w:styleId="WW-BulletA">
    <w:name w:val="#WW-BulletA"/>
    <w:basedOn w:val="Normal"/>
    <w:uiPriority w:val="99"/>
    <w:rsid w:val="00B92DDE"/>
    <w:pPr>
      <w:numPr>
        <w:ilvl w:val="4"/>
        <w:numId w:val="9"/>
      </w:numPr>
      <w:suppressLineNumbers w:val="0"/>
      <w:tabs>
        <w:tab w:val="clear" w:pos="907"/>
        <w:tab w:val="clear" w:pos="9185"/>
      </w:tabs>
      <w:suppressAutoHyphens w:val="0"/>
      <w:spacing w:after="240" w:line="240" w:lineRule="exact"/>
      <w:jc w:val="left"/>
    </w:pPr>
    <w:rPr>
      <w:rFonts w:ascii="Arial" w:hAnsi="Arial" w:cs="Arial"/>
      <w:sz w:val="20"/>
      <w:lang w:eastAsia="en-US"/>
    </w:rPr>
  </w:style>
  <w:style w:type="paragraph" w:customStyle="1" w:styleId="WW-ClientQuestion">
    <w:name w:val="#WW-ClientQuestion"/>
    <w:basedOn w:val="Normal"/>
    <w:next w:val="Normal"/>
    <w:uiPriority w:val="99"/>
    <w:rsid w:val="00B92DDE"/>
    <w:pPr>
      <w:numPr>
        <w:ilvl w:val="3"/>
        <w:numId w:val="9"/>
      </w:numPr>
      <w:suppressLineNumbers w:val="0"/>
      <w:tabs>
        <w:tab w:val="clear" w:pos="907"/>
        <w:tab w:val="clear" w:pos="9185"/>
      </w:tabs>
      <w:suppressAutoHyphens w:val="0"/>
      <w:spacing w:after="360" w:line="240" w:lineRule="exact"/>
      <w:jc w:val="left"/>
    </w:pPr>
    <w:rPr>
      <w:rFonts w:ascii="Arial" w:hAnsi="Arial" w:cs="Arial"/>
      <w:b/>
      <w:bCs/>
      <w:sz w:val="20"/>
      <w:lang w:eastAsia="en-US"/>
    </w:rPr>
  </w:style>
  <w:style w:type="paragraph" w:customStyle="1" w:styleId="WW-NumberedParagraph1">
    <w:name w:val="#WW-NumberedParagraph1"/>
    <w:basedOn w:val="Normal"/>
    <w:uiPriority w:val="99"/>
    <w:rsid w:val="00B92DDE"/>
    <w:pPr>
      <w:numPr>
        <w:ilvl w:val="1"/>
        <w:numId w:val="9"/>
      </w:numPr>
      <w:suppressLineNumbers w:val="0"/>
      <w:tabs>
        <w:tab w:val="clear" w:pos="907"/>
        <w:tab w:val="clear" w:pos="9185"/>
      </w:tabs>
      <w:suppressAutoHyphens w:val="0"/>
      <w:spacing w:after="360" w:line="240" w:lineRule="exact"/>
      <w:jc w:val="left"/>
    </w:pPr>
    <w:rPr>
      <w:rFonts w:ascii="Arial" w:hAnsi="Arial" w:cs="Arial"/>
      <w:sz w:val="20"/>
      <w:lang w:eastAsia="en-US"/>
    </w:rPr>
  </w:style>
  <w:style w:type="paragraph" w:customStyle="1" w:styleId="WW-NumberedParagraph2">
    <w:name w:val="#WW-NumberedParagraph2"/>
    <w:basedOn w:val="Normal"/>
    <w:uiPriority w:val="99"/>
    <w:rsid w:val="00B92DDE"/>
    <w:pPr>
      <w:numPr>
        <w:ilvl w:val="2"/>
        <w:numId w:val="9"/>
      </w:numPr>
      <w:suppressLineNumbers w:val="0"/>
      <w:tabs>
        <w:tab w:val="clear" w:pos="907"/>
        <w:tab w:val="clear" w:pos="9185"/>
      </w:tabs>
      <w:suppressAutoHyphens w:val="0"/>
      <w:spacing w:after="360" w:line="240" w:lineRule="exact"/>
      <w:jc w:val="left"/>
    </w:pPr>
    <w:rPr>
      <w:rFonts w:ascii="Arial" w:hAnsi="Arial" w:cs="Arial"/>
      <w:sz w:val="20"/>
      <w:lang w:eastAsia="en-US"/>
    </w:rPr>
  </w:style>
  <w:style w:type="paragraph" w:styleId="CommentSubject">
    <w:name w:val="annotation subject"/>
    <w:basedOn w:val="CommentText"/>
    <w:next w:val="CommentText"/>
    <w:link w:val="CommentSubjectChar"/>
    <w:uiPriority w:val="99"/>
    <w:semiHidden/>
    <w:unhideWhenUsed/>
    <w:rsid w:val="0037018F"/>
    <w:pPr>
      <w:jc w:val="both"/>
    </w:pPr>
    <w:rPr>
      <w:b/>
      <w:bCs/>
      <w:sz w:val="20"/>
    </w:rPr>
  </w:style>
  <w:style w:type="character" w:customStyle="1" w:styleId="CommentTextChar">
    <w:name w:val="Comment Text Char"/>
    <w:link w:val="CommentText"/>
    <w:semiHidden/>
    <w:rsid w:val="0037018F"/>
    <w:rPr>
      <w:sz w:val="24"/>
    </w:rPr>
  </w:style>
  <w:style w:type="character" w:customStyle="1" w:styleId="CommentSubjectChar">
    <w:name w:val="Comment Subject Char"/>
    <w:basedOn w:val="CommentTextChar"/>
    <w:link w:val="CommentSubject"/>
    <w:rsid w:val="0037018F"/>
    <w:rPr>
      <w:sz w:val="24"/>
    </w:rPr>
  </w:style>
  <w:style w:type="paragraph" w:styleId="Revision">
    <w:name w:val="Revision"/>
    <w:hidden/>
    <w:uiPriority w:val="99"/>
    <w:semiHidden/>
    <w:rsid w:val="00532718"/>
    <w:rPr>
      <w:sz w:val="24"/>
    </w:rPr>
  </w:style>
  <w:style w:type="paragraph" w:styleId="NormalWeb">
    <w:name w:val="Normal (Web)"/>
    <w:basedOn w:val="Normal"/>
    <w:uiPriority w:val="99"/>
    <w:semiHidden/>
    <w:unhideWhenUsed/>
    <w:rsid w:val="00476B77"/>
    <w:rPr>
      <w:szCs w:val="24"/>
    </w:rPr>
  </w:style>
  <w:style w:type="paragraph" w:customStyle="1" w:styleId="Default">
    <w:name w:val="Default"/>
    <w:rsid w:val="006E1FF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948">
      <w:bodyDiv w:val="1"/>
      <w:marLeft w:val="0"/>
      <w:marRight w:val="0"/>
      <w:marTop w:val="0"/>
      <w:marBottom w:val="0"/>
      <w:divBdr>
        <w:top w:val="none" w:sz="0" w:space="0" w:color="auto"/>
        <w:left w:val="none" w:sz="0" w:space="0" w:color="auto"/>
        <w:bottom w:val="none" w:sz="0" w:space="0" w:color="auto"/>
        <w:right w:val="none" w:sz="0" w:space="0" w:color="auto"/>
      </w:divBdr>
      <w:divsChild>
        <w:div w:id="34894564">
          <w:marLeft w:val="1080"/>
          <w:marRight w:val="0"/>
          <w:marTop w:val="0"/>
          <w:marBottom w:val="0"/>
          <w:divBdr>
            <w:top w:val="none" w:sz="0" w:space="0" w:color="auto"/>
            <w:left w:val="none" w:sz="0" w:space="0" w:color="auto"/>
            <w:bottom w:val="none" w:sz="0" w:space="0" w:color="auto"/>
            <w:right w:val="none" w:sz="0" w:space="0" w:color="auto"/>
          </w:divBdr>
        </w:div>
        <w:div w:id="393546167">
          <w:marLeft w:val="360"/>
          <w:marRight w:val="0"/>
          <w:marTop w:val="60"/>
          <w:marBottom w:val="120"/>
          <w:divBdr>
            <w:top w:val="none" w:sz="0" w:space="0" w:color="auto"/>
            <w:left w:val="none" w:sz="0" w:space="0" w:color="auto"/>
            <w:bottom w:val="none" w:sz="0" w:space="0" w:color="auto"/>
            <w:right w:val="none" w:sz="0" w:space="0" w:color="auto"/>
          </w:divBdr>
        </w:div>
        <w:div w:id="412288173">
          <w:marLeft w:val="360"/>
          <w:marRight w:val="0"/>
          <w:marTop w:val="0"/>
          <w:marBottom w:val="0"/>
          <w:divBdr>
            <w:top w:val="none" w:sz="0" w:space="0" w:color="auto"/>
            <w:left w:val="none" w:sz="0" w:space="0" w:color="auto"/>
            <w:bottom w:val="none" w:sz="0" w:space="0" w:color="auto"/>
            <w:right w:val="none" w:sz="0" w:space="0" w:color="auto"/>
          </w:divBdr>
        </w:div>
        <w:div w:id="766124428">
          <w:marLeft w:val="360"/>
          <w:marRight w:val="0"/>
          <w:marTop w:val="0"/>
          <w:marBottom w:val="0"/>
          <w:divBdr>
            <w:top w:val="none" w:sz="0" w:space="0" w:color="auto"/>
            <w:left w:val="none" w:sz="0" w:space="0" w:color="auto"/>
            <w:bottom w:val="none" w:sz="0" w:space="0" w:color="auto"/>
            <w:right w:val="none" w:sz="0" w:space="0" w:color="auto"/>
          </w:divBdr>
        </w:div>
        <w:div w:id="1428691031">
          <w:marLeft w:val="360"/>
          <w:marRight w:val="0"/>
          <w:marTop w:val="0"/>
          <w:marBottom w:val="0"/>
          <w:divBdr>
            <w:top w:val="none" w:sz="0" w:space="0" w:color="auto"/>
            <w:left w:val="none" w:sz="0" w:space="0" w:color="auto"/>
            <w:bottom w:val="none" w:sz="0" w:space="0" w:color="auto"/>
            <w:right w:val="none" w:sz="0" w:space="0" w:color="auto"/>
          </w:divBdr>
        </w:div>
        <w:div w:id="1645963729">
          <w:marLeft w:val="360"/>
          <w:marRight w:val="0"/>
          <w:marTop w:val="0"/>
          <w:marBottom w:val="0"/>
          <w:divBdr>
            <w:top w:val="none" w:sz="0" w:space="0" w:color="auto"/>
            <w:left w:val="none" w:sz="0" w:space="0" w:color="auto"/>
            <w:bottom w:val="none" w:sz="0" w:space="0" w:color="auto"/>
            <w:right w:val="none" w:sz="0" w:space="0" w:color="auto"/>
          </w:divBdr>
        </w:div>
        <w:div w:id="1705981923">
          <w:marLeft w:val="1080"/>
          <w:marRight w:val="0"/>
          <w:marTop w:val="0"/>
          <w:marBottom w:val="0"/>
          <w:divBdr>
            <w:top w:val="none" w:sz="0" w:space="0" w:color="auto"/>
            <w:left w:val="none" w:sz="0" w:space="0" w:color="auto"/>
            <w:bottom w:val="none" w:sz="0" w:space="0" w:color="auto"/>
            <w:right w:val="none" w:sz="0" w:space="0" w:color="auto"/>
          </w:divBdr>
        </w:div>
        <w:div w:id="1765295855">
          <w:marLeft w:val="360"/>
          <w:marRight w:val="0"/>
          <w:marTop w:val="0"/>
          <w:marBottom w:val="0"/>
          <w:divBdr>
            <w:top w:val="none" w:sz="0" w:space="0" w:color="auto"/>
            <w:left w:val="none" w:sz="0" w:space="0" w:color="auto"/>
            <w:bottom w:val="none" w:sz="0" w:space="0" w:color="auto"/>
            <w:right w:val="none" w:sz="0" w:space="0" w:color="auto"/>
          </w:divBdr>
        </w:div>
        <w:div w:id="1819758682">
          <w:marLeft w:val="360"/>
          <w:marRight w:val="0"/>
          <w:marTop w:val="0"/>
          <w:marBottom w:val="0"/>
          <w:divBdr>
            <w:top w:val="none" w:sz="0" w:space="0" w:color="auto"/>
            <w:left w:val="none" w:sz="0" w:space="0" w:color="auto"/>
            <w:bottom w:val="none" w:sz="0" w:space="0" w:color="auto"/>
            <w:right w:val="none" w:sz="0" w:space="0" w:color="auto"/>
          </w:divBdr>
        </w:div>
        <w:div w:id="1927153824">
          <w:marLeft w:val="360"/>
          <w:marRight w:val="0"/>
          <w:marTop w:val="0"/>
          <w:marBottom w:val="0"/>
          <w:divBdr>
            <w:top w:val="none" w:sz="0" w:space="0" w:color="auto"/>
            <w:left w:val="none" w:sz="0" w:space="0" w:color="auto"/>
            <w:bottom w:val="none" w:sz="0" w:space="0" w:color="auto"/>
            <w:right w:val="none" w:sz="0" w:space="0" w:color="auto"/>
          </w:divBdr>
        </w:div>
      </w:divsChild>
    </w:div>
    <w:div w:id="894699969">
      <w:bodyDiv w:val="1"/>
      <w:marLeft w:val="0"/>
      <w:marRight w:val="0"/>
      <w:marTop w:val="0"/>
      <w:marBottom w:val="0"/>
      <w:divBdr>
        <w:top w:val="none" w:sz="0" w:space="0" w:color="auto"/>
        <w:left w:val="none" w:sz="0" w:space="0" w:color="auto"/>
        <w:bottom w:val="none" w:sz="0" w:space="0" w:color="auto"/>
        <w:right w:val="none" w:sz="0" w:space="0" w:color="auto"/>
      </w:divBdr>
      <w:divsChild>
        <w:div w:id="47383201">
          <w:marLeft w:val="1080"/>
          <w:marRight w:val="0"/>
          <w:marTop w:val="0"/>
          <w:marBottom w:val="0"/>
          <w:divBdr>
            <w:top w:val="none" w:sz="0" w:space="0" w:color="auto"/>
            <w:left w:val="none" w:sz="0" w:space="0" w:color="auto"/>
            <w:bottom w:val="none" w:sz="0" w:space="0" w:color="auto"/>
            <w:right w:val="none" w:sz="0" w:space="0" w:color="auto"/>
          </w:divBdr>
        </w:div>
        <w:div w:id="315492872">
          <w:marLeft w:val="360"/>
          <w:marRight w:val="0"/>
          <w:marTop w:val="0"/>
          <w:marBottom w:val="0"/>
          <w:divBdr>
            <w:top w:val="none" w:sz="0" w:space="0" w:color="auto"/>
            <w:left w:val="none" w:sz="0" w:space="0" w:color="auto"/>
            <w:bottom w:val="none" w:sz="0" w:space="0" w:color="auto"/>
            <w:right w:val="none" w:sz="0" w:space="0" w:color="auto"/>
          </w:divBdr>
        </w:div>
        <w:div w:id="647630475">
          <w:marLeft w:val="360"/>
          <w:marRight w:val="0"/>
          <w:marTop w:val="0"/>
          <w:marBottom w:val="0"/>
          <w:divBdr>
            <w:top w:val="none" w:sz="0" w:space="0" w:color="auto"/>
            <w:left w:val="none" w:sz="0" w:space="0" w:color="auto"/>
            <w:bottom w:val="none" w:sz="0" w:space="0" w:color="auto"/>
            <w:right w:val="none" w:sz="0" w:space="0" w:color="auto"/>
          </w:divBdr>
        </w:div>
        <w:div w:id="717239646">
          <w:marLeft w:val="360"/>
          <w:marRight w:val="0"/>
          <w:marTop w:val="0"/>
          <w:marBottom w:val="0"/>
          <w:divBdr>
            <w:top w:val="none" w:sz="0" w:space="0" w:color="auto"/>
            <w:left w:val="none" w:sz="0" w:space="0" w:color="auto"/>
            <w:bottom w:val="none" w:sz="0" w:space="0" w:color="auto"/>
            <w:right w:val="none" w:sz="0" w:space="0" w:color="auto"/>
          </w:divBdr>
        </w:div>
        <w:div w:id="890189472">
          <w:marLeft w:val="360"/>
          <w:marRight w:val="0"/>
          <w:marTop w:val="0"/>
          <w:marBottom w:val="0"/>
          <w:divBdr>
            <w:top w:val="none" w:sz="0" w:space="0" w:color="auto"/>
            <w:left w:val="none" w:sz="0" w:space="0" w:color="auto"/>
            <w:bottom w:val="none" w:sz="0" w:space="0" w:color="auto"/>
            <w:right w:val="none" w:sz="0" w:space="0" w:color="auto"/>
          </w:divBdr>
        </w:div>
        <w:div w:id="1234438694">
          <w:marLeft w:val="360"/>
          <w:marRight w:val="0"/>
          <w:marTop w:val="0"/>
          <w:marBottom w:val="0"/>
          <w:divBdr>
            <w:top w:val="none" w:sz="0" w:space="0" w:color="auto"/>
            <w:left w:val="none" w:sz="0" w:space="0" w:color="auto"/>
            <w:bottom w:val="none" w:sz="0" w:space="0" w:color="auto"/>
            <w:right w:val="none" w:sz="0" w:space="0" w:color="auto"/>
          </w:divBdr>
        </w:div>
        <w:div w:id="1258054155">
          <w:marLeft w:val="1080"/>
          <w:marRight w:val="0"/>
          <w:marTop w:val="0"/>
          <w:marBottom w:val="0"/>
          <w:divBdr>
            <w:top w:val="none" w:sz="0" w:space="0" w:color="auto"/>
            <w:left w:val="none" w:sz="0" w:space="0" w:color="auto"/>
            <w:bottom w:val="none" w:sz="0" w:space="0" w:color="auto"/>
            <w:right w:val="none" w:sz="0" w:space="0" w:color="auto"/>
          </w:divBdr>
        </w:div>
        <w:div w:id="1371684581">
          <w:marLeft w:val="360"/>
          <w:marRight w:val="0"/>
          <w:marTop w:val="0"/>
          <w:marBottom w:val="0"/>
          <w:divBdr>
            <w:top w:val="none" w:sz="0" w:space="0" w:color="auto"/>
            <w:left w:val="none" w:sz="0" w:space="0" w:color="auto"/>
            <w:bottom w:val="none" w:sz="0" w:space="0" w:color="auto"/>
            <w:right w:val="none" w:sz="0" w:space="0" w:color="auto"/>
          </w:divBdr>
        </w:div>
        <w:div w:id="1460296806">
          <w:marLeft w:val="360"/>
          <w:marRight w:val="0"/>
          <w:marTop w:val="0"/>
          <w:marBottom w:val="0"/>
          <w:divBdr>
            <w:top w:val="none" w:sz="0" w:space="0" w:color="auto"/>
            <w:left w:val="none" w:sz="0" w:space="0" w:color="auto"/>
            <w:bottom w:val="none" w:sz="0" w:space="0" w:color="auto"/>
            <w:right w:val="none" w:sz="0" w:space="0" w:color="auto"/>
          </w:divBdr>
        </w:div>
        <w:div w:id="1908370429">
          <w:marLeft w:val="360"/>
          <w:marRight w:val="0"/>
          <w:marTop w:val="60"/>
          <w:marBottom w:val="120"/>
          <w:divBdr>
            <w:top w:val="none" w:sz="0" w:space="0" w:color="auto"/>
            <w:left w:val="none" w:sz="0" w:space="0" w:color="auto"/>
            <w:bottom w:val="none" w:sz="0" w:space="0" w:color="auto"/>
            <w:right w:val="none" w:sz="0" w:space="0" w:color="auto"/>
          </w:divBdr>
        </w:div>
      </w:divsChild>
    </w:div>
    <w:div w:id="928462119">
      <w:bodyDiv w:val="1"/>
      <w:marLeft w:val="0"/>
      <w:marRight w:val="0"/>
      <w:marTop w:val="0"/>
      <w:marBottom w:val="0"/>
      <w:divBdr>
        <w:top w:val="none" w:sz="0" w:space="0" w:color="auto"/>
        <w:left w:val="none" w:sz="0" w:space="0" w:color="auto"/>
        <w:bottom w:val="none" w:sz="0" w:space="0" w:color="auto"/>
        <w:right w:val="none" w:sz="0" w:space="0" w:color="auto"/>
      </w:divBdr>
    </w:div>
    <w:div w:id="929394367">
      <w:bodyDiv w:val="1"/>
      <w:marLeft w:val="0"/>
      <w:marRight w:val="0"/>
      <w:marTop w:val="0"/>
      <w:marBottom w:val="0"/>
      <w:divBdr>
        <w:top w:val="none" w:sz="0" w:space="0" w:color="auto"/>
        <w:left w:val="none" w:sz="0" w:space="0" w:color="auto"/>
        <w:bottom w:val="none" w:sz="0" w:space="0" w:color="auto"/>
        <w:right w:val="none" w:sz="0" w:space="0" w:color="auto"/>
      </w:divBdr>
    </w:div>
    <w:div w:id="929463074">
      <w:bodyDiv w:val="1"/>
      <w:marLeft w:val="0"/>
      <w:marRight w:val="0"/>
      <w:marTop w:val="0"/>
      <w:marBottom w:val="0"/>
      <w:divBdr>
        <w:top w:val="none" w:sz="0" w:space="0" w:color="auto"/>
        <w:left w:val="none" w:sz="0" w:space="0" w:color="auto"/>
        <w:bottom w:val="none" w:sz="0" w:space="0" w:color="auto"/>
        <w:right w:val="none" w:sz="0" w:space="0" w:color="auto"/>
      </w:divBdr>
    </w:div>
    <w:div w:id="963730502">
      <w:bodyDiv w:val="1"/>
      <w:marLeft w:val="0"/>
      <w:marRight w:val="0"/>
      <w:marTop w:val="0"/>
      <w:marBottom w:val="0"/>
      <w:divBdr>
        <w:top w:val="none" w:sz="0" w:space="0" w:color="auto"/>
        <w:left w:val="none" w:sz="0" w:space="0" w:color="auto"/>
        <w:bottom w:val="none" w:sz="0" w:space="0" w:color="auto"/>
        <w:right w:val="none" w:sz="0" w:space="0" w:color="auto"/>
      </w:divBdr>
    </w:div>
    <w:div w:id="1082071798">
      <w:bodyDiv w:val="1"/>
      <w:marLeft w:val="0"/>
      <w:marRight w:val="0"/>
      <w:marTop w:val="0"/>
      <w:marBottom w:val="0"/>
      <w:divBdr>
        <w:top w:val="none" w:sz="0" w:space="0" w:color="auto"/>
        <w:left w:val="none" w:sz="0" w:space="0" w:color="auto"/>
        <w:bottom w:val="none" w:sz="0" w:space="0" w:color="auto"/>
        <w:right w:val="none" w:sz="0" w:space="0" w:color="auto"/>
      </w:divBdr>
      <w:divsChild>
        <w:div w:id="138812224">
          <w:marLeft w:val="1080"/>
          <w:marRight w:val="0"/>
          <w:marTop w:val="0"/>
          <w:marBottom w:val="0"/>
          <w:divBdr>
            <w:top w:val="none" w:sz="0" w:space="0" w:color="auto"/>
            <w:left w:val="none" w:sz="0" w:space="0" w:color="auto"/>
            <w:bottom w:val="none" w:sz="0" w:space="0" w:color="auto"/>
            <w:right w:val="none" w:sz="0" w:space="0" w:color="auto"/>
          </w:divBdr>
        </w:div>
        <w:div w:id="233515816">
          <w:marLeft w:val="1080"/>
          <w:marRight w:val="0"/>
          <w:marTop w:val="0"/>
          <w:marBottom w:val="0"/>
          <w:divBdr>
            <w:top w:val="none" w:sz="0" w:space="0" w:color="auto"/>
            <w:left w:val="none" w:sz="0" w:space="0" w:color="auto"/>
            <w:bottom w:val="none" w:sz="0" w:space="0" w:color="auto"/>
            <w:right w:val="none" w:sz="0" w:space="0" w:color="auto"/>
          </w:divBdr>
        </w:div>
        <w:div w:id="399324812">
          <w:marLeft w:val="1080"/>
          <w:marRight w:val="0"/>
          <w:marTop w:val="0"/>
          <w:marBottom w:val="0"/>
          <w:divBdr>
            <w:top w:val="none" w:sz="0" w:space="0" w:color="auto"/>
            <w:left w:val="none" w:sz="0" w:space="0" w:color="auto"/>
            <w:bottom w:val="none" w:sz="0" w:space="0" w:color="auto"/>
            <w:right w:val="none" w:sz="0" w:space="0" w:color="auto"/>
          </w:divBdr>
        </w:div>
        <w:div w:id="598829800">
          <w:marLeft w:val="1080"/>
          <w:marRight w:val="0"/>
          <w:marTop w:val="0"/>
          <w:marBottom w:val="0"/>
          <w:divBdr>
            <w:top w:val="none" w:sz="0" w:space="0" w:color="auto"/>
            <w:left w:val="none" w:sz="0" w:space="0" w:color="auto"/>
            <w:bottom w:val="none" w:sz="0" w:space="0" w:color="auto"/>
            <w:right w:val="none" w:sz="0" w:space="0" w:color="auto"/>
          </w:divBdr>
        </w:div>
        <w:div w:id="1651865594">
          <w:marLeft w:val="360"/>
          <w:marRight w:val="0"/>
          <w:marTop w:val="60"/>
          <w:marBottom w:val="120"/>
          <w:divBdr>
            <w:top w:val="none" w:sz="0" w:space="0" w:color="auto"/>
            <w:left w:val="none" w:sz="0" w:space="0" w:color="auto"/>
            <w:bottom w:val="none" w:sz="0" w:space="0" w:color="auto"/>
            <w:right w:val="none" w:sz="0" w:space="0" w:color="auto"/>
          </w:divBdr>
        </w:div>
        <w:div w:id="1849324862">
          <w:marLeft w:val="1080"/>
          <w:marRight w:val="0"/>
          <w:marTop w:val="0"/>
          <w:marBottom w:val="0"/>
          <w:divBdr>
            <w:top w:val="none" w:sz="0" w:space="0" w:color="auto"/>
            <w:left w:val="none" w:sz="0" w:space="0" w:color="auto"/>
            <w:bottom w:val="none" w:sz="0" w:space="0" w:color="auto"/>
            <w:right w:val="none" w:sz="0" w:space="0" w:color="auto"/>
          </w:divBdr>
        </w:div>
        <w:div w:id="1990210825">
          <w:marLeft w:val="1080"/>
          <w:marRight w:val="0"/>
          <w:marTop w:val="0"/>
          <w:marBottom w:val="0"/>
          <w:divBdr>
            <w:top w:val="none" w:sz="0" w:space="0" w:color="auto"/>
            <w:left w:val="none" w:sz="0" w:space="0" w:color="auto"/>
            <w:bottom w:val="none" w:sz="0" w:space="0" w:color="auto"/>
            <w:right w:val="none" w:sz="0" w:space="0" w:color="auto"/>
          </w:divBdr>
        </w:div>
      </w:divsChild>
    </w:div>
    <w:div w:id="1116294844">
      <w:bodyDiv w:val="1"/>
      <w:marLeft w:val="0"/>
      <w:marRight w:val="0"/>
      <w:marTop w:val="0"/>
      <w:marBottom w:val="0"/>
      <w:divBdr>
        <w:top w:val="none" w:sz="0" w:space="0" w:color="auto"/>
        <w:left w:val="none" w:sz="0" w:space="0" w:color="auto"/>
        <w:bottom w:val="none" w:sz="0" w:space="0" w:color="auto"/>
        <w:right w:val="none" w:sz="0" w:space="0" w:color="auto"/>
      </w:divBdr>
    </w:div>
    <w:div w:id="1812480025">
      <w:bodyDiv w:val="1"/>
      <w:marLeft w:val="0"/>
      <w:marRight w:val="0"/>
      <w:marTop w:val="0"/>
      <w:marBottom w:val="0"/>
      <w:divBdr>
        <w:top w:val="none" w:sz="0" w:space="0" w:color="auto"/>
        <w:left w:val="none" w:sz="0" w:space="0" w:color="auto"/>
        <w:bottom w:val="none" w:sz="0" w:space="0" w:color="auto"/>
        <w:right w:val="none" w:sz="0" w:space="0" w:color="auto"/>
      </w:divBdr>
    </w:div>
    <w:div w:id="197848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32\Office97\TEMPLATE\Repor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TCT Client Project Document" ma:contentTypeID="0x010100725E60EF2E824CBB9F9F6219DD094B0900B612D4D4DDC947DAA2F0B8B009DF7B4000CD8C5AE2EFE41647A6B2AFA0E1B4468E" ma:contentTypeVersion="0" ma:contentTypeDescription="Create a new TCT Client Project Document" ma:contentTypeScope="" ma:versionID="8ff2eb59ad1521fd61f0253d19f53a59">
  <xsd:schema xmlns:xsd="http://www.w3.org/2001/XMLSchema" xmlns:xs="http://www.w3.org/2001/XMLSchema" xmlns:p="http://schemas.microsoft.com/office/2006/metadata/properties" xmlns:ns2="72a8f721-f004-44da-91fe-bb3823bf7857" xmlns:ns3="b6a90880-4d55-4aa8-a09c-16896a90cf94" targetNamespace="http://schemas.microsoft.com/office/2006/metadata/properties" ma:root="true" ma:fieldsID="d69170f8043d21149373d0d71b34dc99" ns2:_="" ns3:_="">
    <xsd:import namespace="72a8f721-f004-44da-91fe-bb3823bf7857"/>
    <xsd:import namespace="b6a90880-4d55-4aa8-a09c-16896a90cf94"/>
    <xsd:element name="properties">
      <xsd:complexType>
        <xsd:sequence>
          <xsd:element name="documentManagement">
            <xsd:complexType>
              <xsd:all>
                <xsd:element ref="ns2:TCT_PersonallyIdentifiableInformation" minOccurs="0"/>
                <xsd:element ref="ns2:TCT_PersonalHealthInformation" minOccurs="0"/>
                <xsd:element ref="ns2:TCT_ProjectPhase" minOccurs="0"/>
                <xsd:element ref="ns2:TCT_WorkDocumentReviewStatus" minOccurs="0"/>
                <xsd:element ref="ns2:TCT_PreparedBy" minOccurs="0"/>
                <xsd:element ref="ns2:TCT_PreparedDate" minOccurs="0"/>
                <xsd:element ref="ns2:TCT_PreparedByRequired" minOccurs="0"/>
                <xsd:element ref="ns2:TCT_TechnicalReviewer" minOccurs="0"/>
                <xsd:element ref="ns2:TCT_TechnicalReviewApprovalDate" minOccurs="0"/>
                <xsd:element ref="ns2:TCT_TechnicalReviewerRequired" minOccurs="0"/>
                <xsd:element ref="ns2:TCT_ConsultingReviewer" minOccurs="0"/>
                <xsd:element ref="ns2:TCT_ConsultingReviewApprovalDate" minOccurs="0"/>
                <xsd:element ref="ns2:TCT_ConsultingReviewerRequired" minOccurs="0"/>
                <xsd:element ref="ns2:TCT_EditorialReviewer" minOccurs="0"/>
                <xsd:element ref="ns2:TCT_EditorialReviewApprovalDate" minOccurs="0"/>
                <xsd:element ref="ns2:TCT_EditorialReviewerRequired" minOccurs="0"/>
                <xsd:element ref="ns2:TCT_SeniorPeerReviewer" minOccurs="0"/>
                <xsd:element ref="ns2:TCT_SeniorPeerReviewApprovalDate" minOccurs="0"/>
                <xsd:element ref="ns2:TCT_SeniorPeerReviewerRequired" minOccurs="0"/>
                <xsd:element ref="ns2:TCT_WorkReviewComments" minOccurs="0"/>
                <xsd:element ref="ns2:TCT_LOB" minOccurs="0"/>
                <xsd:element ref="ns2:TCT_Office" minOccurs="0"/>
                <xsd:element ref="ns2:TCT_Received" minOccurs="0"/>
                <xsd:element ref="ns2:TCT_Received_UTC" minOccurs="0"/>
                <xsd:element ref="ns2:TCT_Region" minOccurs="0"/>
                <xsd:element ref="ns2:TCT_Sensitivity" minOccurs="0"/>
                <xsd:element ref="ns2:TCT_Sent" minOccurs="0"/>
                <xsd:element ref="ns2:TCT_Sent_UTC" minOccurs="0"/>
                <xsd:element ref="ns2:TCT_SourceModifiedDate" minOccurs="0"/>
                <xsd:element ref="ns2:TCT_To" minOccurs="0"/>
                <xsd:element ref="ns2:TCT_To_Address" minOccurs="0"/>
                <xsd:element ref="ns2:TCT_To_Type" minOccurs="0"/>
                <xsd:element ref="ns2:TCT_ClientCode" minOccurs="0"/>
                <xsd:element ref="ns2:TCT_ClientName" minOccurs="0"/>
                <xsd:element ref="ns2:TCT_ProjectCode" minOccurs="0"/>
                <xsd:element ref="ns2:TCT_ProjectName" minOccurs="0"/>
                <xsd:element ref="ns2:TCT_ProjectStatus" minOccurs="0"/>
                <xsd:element ref="ns2:TCT_ProjectType" minOccurs="0"/>
                <xsd:element ref="ns2:TCT_ProjectYear" minOccurs="0"/>
                <xsd:element ref="ns3:TCT_Attachment" minOccurs="0"/>
                <xsd:element ref="ns2:TCT_Importance" minOccurs="0"/>
                <xsd:element ref="ns2:TCT_Bcc" minOccurs="0"/>
                <xsd:element ref="ns2:TCT_Bcc_Address" minOccurs="0"/>
                <xsd:element ref="ns2:TCT_Bcc_Type" minOccurs="0"/>
                <xsd:element ref="ns2:TCT_Cc" minOccurs="0"/>
                <xsd:element ref="ns2:TCT_Cc_Address" minOccurs="0"/>
                <xsd:element ref="ns2:TCT_Cc_Type" minOccurs="0"/>
                <xsd:element ref="ns2:TCT_Conversation" minOccurs="0"/>
                <xsd:element ref="ns2:TCT_Country" minOccurs="0"/>
                <xsd:element ref="ns2:TCT_Email_Categories" minOccurs="0"/>
                <xsd:element ref="ns2:TCT_Email_Subject" minOccurs="0"/>
                <xsd:element ref="ns2:TCT_From" minOccurs="0"/>
                <xsd:element ref="ns2:TCT_From_Address" minOccurs="0"/>
                <xsd:element ref="ns2:TCT_From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8f721-f004-44da-91fe-bb3823bf7857" elementFormDefault="qualified">
    <xsd:import namespace="http://schemas.microsoft.com/office/2006/documentManagement/types"/>
    <xsd:import namespace="http://schemas.microsoft.com/office/infopath/2007/PartnerControls"/>
    <xsd:element name="TCT_PersonallyIdentifiableInformation" ma:index="2" nillable="true" ma:displayName="PII" ma:default="No" ma:description="Any data about an identifiable individual (such as date of birth or unique ID number)" ma:internalName="TCT_PersonallyIdentifiableInformation" ma:readOnly="false">
      <xsd:simpleType>
        <xsd:restriction base="dms:Choice">
          <xsd:enumeration value="Yes"/>
          <xsd:enumeration value="No"/>
        </xsd:restriction>
      </xsd:simpleType>
    </xsd:element>
    <xsd:element name="TCT_PersonalHealthInformation" ma:index="3" nillable="true" ma:displayName="PHI(US Only)" ma:default="No" ma:description="For US Projects Only.  Any information from a covered entity about health, coverage, benefits, or payments that can be linked to a specific individual.  For details, please see the FAQ section within the Resources site" ma:internalName="TCT_PersonalHealthInformation" ma:readOnly="false">
      <xsd:simpleType>
        <xsd:restriction base="dms:Choice">
          <xsd:enumeration value="Yes"/>
          <xsd:enumeration value="No"/>
        </xsd:restriction>
      </xsd:simpleType>
    </xsd:element>
    <xsd:element name="TCT_ProjectPhase" ma:index="4" nillable="true" ma:displayName="Project Phase" ma:internalName="TCT_ProjectPhase" ma:readOnly="false">
      <xsd:simpleType>
        <xsd:restriction base="dms:Choice">
          <xsd:enumeration value="Pursue"/>
          <xsd:enumeration value="Plan, incl. Project Mgmt"/>
          <xsd:enumeration value="Deliver - Data"/>
          <xsd:enumeration value="Deliver - Internal Work"/>
          <xsd:enumeration value="Deliver - Deliverables"/>
          <xsd:enumeration value="Assess and Close"/>
        </xsd:restriction>
      </xsd:simpleType>
    </xsd:element>
    <xsd:element name="TCT_WorkDocumentReviewStatus" ma:index="5" nillable="true" ma:displayName="WR Required?" ma:default="" ma:internalName="TCT_WorkDocumentReviewStatus">
      <xsd:simpleType>
        <xsd:restriction base="dms:Choice">
          <xsd:enumeration value="Yes"/>
          <xsd:enumeration value="No"/>
        </xsd:restriction>
      </xsd:simpleType>
    </xsd:element>
    <xsd:element name="TCT_PreparedBy" ma:index="6" nillable="true" ma:displayName="Doer" ma:list="{7ebb427f-1edb-4d72-8011-3d53f6bd0680}" ma:internalName="TCT_PreparedBy" ma:showField="ImnName" ma:web="72a8f721-f004-44da-91fe-bb3823bf7857">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CT_PreparedDate" ma:index="7" nillable="true" ma:displayName="Doer Date" ma:format="DateOnly" ma:internalName="TCT_PreparedDate">
      <xsd:simpleType>
        <xsd:restriction base="dms:DateTime"/>
      </xsd:simpleType>
    </xsd:element>
    <xsd:element name="TCT_PreparedByRequired" ma:index="8" nillable="true" ma:displayName="Doer Not Req" ma:internalName="TCT_PreparedByRequired">
      <xsd:simpleType>
        <xsd:restriction base="dms:Boolean"/>
      </xsd:simpleType>
    </xsd:element>
    <xsd:element name="TCT_TechnicalReviewer" ma:index="9" nillable="true" ma:displayName="TR" ma:list="{7ebb427f-1edb-4d72-8011-3d53f6bd0680}" ma:internalName="TCT_TechnicalReviewer" ma:showField="ImnName" ma:web="72a8f721-f004-44da-91fe-bb3823bf7857">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CT_TechnicalReviewApprovalDate" ma:index="10" nillable="true" ma:displayName="TR Date" ma:format="DateOnly" ma:internalName="TCT_TechnicalReviewApprovalDate">
      <xsd:simpleType>
        <xsd:restriction base="dms:DateTime"/>
      </xsd:simpleType>
    </xsd:element>
    <xsd:element name="TCT_TechnicalReviewerRequired" ma:index="11" nillable="true" ma:displayName="TR Not Req" ma:internalName="TCT_TechnicalReviewerRequired">
      <xsd:simpleType>
        <xsd:restriction base="dms:Boolean"/>
      </xsd:simpleType>
    </xsd:element>
    <xsd:element name="TCT_ConsultingReviewer" ma:index="12" nillable="true" ma:displayName="CR" ma:list="{7ebb427f-1edb-4d72-8011-3d53f6bd0680}" ma:internalName="TCT_ConsultingReviewer" ma:showField="ImnName" ma:web="72a8f721-f004-44da-91fe-bb3823bf7857">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CT_ConsultingReviewApprovalDate" ma:index="13" nillable="true" ma:displayName="CR Date" ma:format="DateOnly" ma:internalName="TCT_ConsultingReviewApprovalDate">
      <xsd:simpleType>
        <xsd:restriction base="dms:DateTime"/>
      </xsd:simpleType>
    </xsd:element>
    <xsd:element name="TCT_ConsultingReviewerRequired" ma:index="14" nillable="true" ma:displayName="CR Not Req" ma:internalName="TCT_ConsultingReviewerRequired">
      <xsd:simpleType>
        <xsd:restriction base="dms:Boolean"/>
      </xsd:simpleType>
    </xsd:element>
    <xsd:element name="TCT_EditorialReviewer" ma:index="15" nillable="true" ma:displayName="ER" ma:list="{7ebb427f-1edb-4d72-8011-3d53f6bd0680}" ma:internalName="TCT_EditorialReviewer" ma:showField="ImnName" ma:web="72a8f721-f004-44da-91fe-bb3823bf7857">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CT_EditorialReviewApprovalDate" ma:index="16" nillable="true" ma:displayName="ER Date" ma:format="DateOnly" ma:internalName="TCT_EditorialReviewApprovalDate">
      <xsd:simpleType>
        <xsd:restriction base="dms:DateTime"/>
      </xsd:simpleType>
    </xsd:element>
    <xsd:element name="TCT_EditorialReviewerRequired" ma:index="17" nillable="true" ma:displayName="ER Not Req" ma:internalName="TCT_EditorialReviewerRequired">
      <xsd:simpleType>
        <xsd:restriction base="dms:Boolean"/>
      </xsd:simpleType>
    </xsd:element>
    <xsd:element name="TCT_SeniorPeerReviewer" ma:index="18" nillable="true" ma:displayName="SPR" ma:list="{7ebb427f-1edb-4d72-8011-3d53f6bd0680}" ma:internalName="TCT_SeniorPeerReviewer" ma:showField="ImnName" ma:web="72a8f721-f004-44da-91fe-bb3823bf7857">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CT_SeniorPeerReviewApprovalDate" ma:index="19" nillable="true" ma:displayName="SPR Date" ma:format="DateOnly" ma:internalName="TCT_SeniorPeerReviewApprovalDate">
      <xsd:simpleType>
        <xsd:restriction base="dms:DateTime"/>
      </xsd:simpleType>
    </xsd:element>
    <xsd:element name="TCT_SeniorPeerReviewerRequired" ma:index="20" nillable="true" ma:displayName="SPR Not Req" ma:internalName="TCT_SeniorPeerReviewerRequired">
      <xsd:simpleType>
        <xsd:restriction base="dms:Boolean"/>
      </xsd:simpleType>
    </xsd:element>
    <xsd:element name="TCT_WorkReviewComments" ma:index="21" nillable="true" ma:displayName="WR Comments" ma:internalName="TCT_WorkReviewComments">
      <xsd:simpleType>
        <xsd:restriction base="dms:Note">
          <xsd:maxLength value="255"/>
        </xsd:restriction>
      </xsd:simpleType>
    </xsd:element>
    <xsd:element name="TCT_LOB" ma:index="22" nillable="true" ma:displayName="Line of Business" ma:hidden="true" ma:internalName="TCT_LOB" ma:readOnly="true">
      <xsd:simpleType>
        <xsd:restriction base="dms:Text"/>
      </xsd:simpleType>
    </xsd:element>
    <xsd:element name="TCT_Office" ma:index="23" nillable="true" ma:displayName="Office" ma:hidden="true" ma:internalName="TCT_Office" ma:readOnly="true">
      <xsd:simpleType>
        <xsd:restriction base="dms:Text"/>
      </xsd:simpleType>
    </xsd:element>
    <xsd:element name="TCT_Received" ma:index="26" nillable="true" ma:displayName="Received" ma:format="DateOnly" ma:hidden="true" ma:internalName="TCT_Received">
      <xsd:simpleType>
        <xsd:restriction base="dms:DateTime"/>
      </xsd:simpleType>
    </xsd:element>
    <xsd:element name="TCT_Received_UTC" ma:index="27" nillable="true" ma:displayName="Received-UTC" ma:format="DateOnly" ma:hidden="true" ma:internalName="TCT_Received_UTC">
      <xsd:simpleType>
        <xsd:restriction base="dms:DateTime"/>
      </xsd:simpleType>
    </xsd:element>
    <xsd:element name="TCT_Region" ma:index="28" nillable="true" ma:displayName="Region" ma:hidden="true" ma:internalName="TCT_Region" ma:readOnly="true">
      <xsd:simpleType>
        <xsd:restriction base="dms:Text"/>
      </xsd:simpleType>
    </xsd:element>
    <xsd:element name="TCT_Sensitivity" ma:index="29" nillable="true" ma:displayName="Sensitivity" ma:hidden="true" ma:internalName="TCT_Sensitivity">
      <xsd:simpleType>
        <xsd:restriction base="dms:Number"/>
      </xsd:simpleType>
    </xsd:element>
    <xsd:element name="TCT_Sent" ma:index="30" nillable="true" ma:displayName="Sent" ma:format="DateOnly" ma:hidden="true" ma:internalName="TCT_Sent">
      <xsd:simpleType>
        <xsd:restriction base="dms:DateTime"/>
      </xsd:simpleType>
    </xsd:element>
    <xsd:element name="TCT_Sent_UTC" ma:index="31" nillable="true" ma:displayName="Sent-UTC" ma:format="DateOnly" ma:hidden="true" ma:internalName="TCT_Sent_UTC">
      <xsd:simpleType>
        <xsd:restriction base="dms:DateTime"/>
      </xsd:simpleType>
    </xsd:element>
    <xsd:element name="TCT_SourceModifiedDate" ma:index="32" nillable="true" ma:displayName="Source Modified Date" ma:format="DateOnly" ma:internalName="TCT_SourceModifiedDate" ma:readOnly="true">
      <xsd:simpleType>
        <xsd:restriction base="dms:DateTime"/>
      </xsd:simpleType>
    </xsd:element>
    <xsd:element name="TCT_To" ma:index="33" nillable="true" ma:displayName="To" ma:hidden="true" ma:internalName="TCT_To">
      <xsd:simpleType>
        <xsd:restriction base="dms:Text"/>
      </xsd:simpleType>
    </xsd:element>
    <xsd:element name="TCT_To_Address" ma:index="34" nillable="true" ma:displayName="To-Address" ma:hidden="true" ma:internalName="TCT_To_Address">
      <xsd:simpleType>
        <xsd:restriction base="dms:Note">
          <xsd:maxLength value="255"/>
        </xsd:restriction>
      </xsd:simpleType>
    </xsd:element>
    <xsd:element name="TCT_To_Type" ma:index="35" nillable="true" ma:displayName="To-Type" ma:hidden="true" ma:internalName="TCT_To_Type">
      <xsd:simpleType>
        <xsd:restriction base="dms:Text"/>
      </xsd:simpleType>
    </xsd:element>
    <xsd:element name="TCT_ClientCode" ma:index="36" nillable="true" ma:displayName="Client Code" ma:internalName="TCT_ClientCode" ma:readOnly="true">
      <xsd:simpleType>
        <xsd:restriction base="dms:Text"/>
      </xsd:simpleType>
    </xsd:element>
    <xsd:element name="TCT_ClientName" ma:index="37" nillable="true" ma:displayName="Client Name" ma:internalName="TCT_ClientName" ma:readOnly="true">
      <xsd:simpleType>
        <xsd:restriction base="dms:Text"/>
      </xsd:simpleType>
    </xsd:element>
    <xsd:element name="TCT_ProjectCode" ma:index="38" nillable="true" ma:displayName="Project Code" ma:internalName="TCT_ProjectCode" ma:readOnly="true">
      <xsd:simpleType>
        <xsd:restriction base="dms:Text"/>
      </xsd:simpleType>
    </xsd:element>
    <xsd:element name="TCT_ProjectName" ma:index="39" nillable="true" ma:displayName="Project Name" ma:internalName="TCT_ProjectName" ma:readOnly="true">
      <xsd:simpleType>
        <xsd:restriction base="dms:Text"/>
      </xsd:simpleType>
    </xsd:element>
    <xsd:element name="TCT_ProjectStatus" ma:index="41" nillable="true" ma:displayName="Project Status" ma:default="" ma:hidden="true" ma:internalName="TCT_ProjectStatus" ma:readOnly="true">
      <xsd:simpleType>
        <xsd:restriction base="dms:Choice">
          <xsd:enumeration value="Active"/>
          <xsd:enumeration value="Closed"/>
          <xsd:enumeration value="Canceled"/>
          <xsd:enumeration value="Archived"/>
        </xsd:restriction>
      </xsd:simpleType>
    </xsd:element>
    <xsd:element name="TCT_ProjectType" ma:index="42" nillable="true" ma:displayName="Project Type" ma:internalName="TCT_ProjectType" ma:readOnly="true">
      <xsd:simpleType>
        <xsd:restriction base="dms:Choice">
          <xsd:enumeration value="Project"/>
          <xsd:enumeration value="Reference"/>
          <xsd:enumeration value="Account Management"/>
          <xsd:enumeration value="Plan Administration"/>
        </xsd:restriction>
      </xsd:simpleType>
    </xsd:element>
    <xsd:element name="TCT_ProjectYear" ma:index="43" nillable="true" ma:displayName="Project Year" ma:internalName="TCT_ProjectYear" ma:readOnly="true">
      <xsd:simpleType>
        <xsd:restriction base="dms:Text"/>
      </xsd:simpleType>
    </xsd:element>
    <xsd:element name="TCT_Importance" ma:index="46" nillable="true" ma:displayName="Importance" ma:hidden="true" ma:internalName="TCT_Importance">
      <xsd:simpleType>
        <xsd:restriction base="dms:Number"/>
      </xsd:simpleType>
    </xsd:element>
    <xsd:element name="TCT_Bcc" ma:index="49" nillable="true" ma:displayName="Bcc" ma:hidden="true" ma:internalName="TCT_Bcc">
      <xsd:simpleType>
        <xsd:restriction base="dms:Text"/>
      </xsd:simpleType>
    </xsd:element>
    <xsd:element name="TCT_Bcc_Address" ma:index="50" nillable="true" ma:displayName="Bcc Address" ma:hidden="true" ma:internalName="TCT_Bcc_Address">
      <xsd:simpleType>
        <xsd:restriction base="dms:Note">
          <xsd:maxLength value="255"/>
        </xsd:restriction>
      </xsd:simpleType>
    </xsd:element>
    <xsd:element name="TCT_Bcc_Type" ma:index="51" nillable="true" ma:displayName="Bcc-Type" ma:hidden="true" ma:internalName="TCT_Bcc_Type">
      <xsd:simpleType>
        <xsd:restriction base="dms:Text"/>
      </xsd:simpleType>
    </xsd:element>
    <xsd:element name="TCT_Cc" ma:index="52" nillable="true" ma:displayName="Cc" ma:hidden="true" ma:internalName="TCT_Cc">
      <xsd:simpleType>
        <xsd:restriction base="dms:Text"/>
      </xsd:simpleType>
    </xsd:element>
    <xsd:element name="TCT_Cc_Address" ma:index="53" nillable="true" ma:displayName="Cc-Address" ma:hidden="true" ma:internalName="TCT_Cc_Address">
      <xsd:simpleType>
        <xsd:restriction base="dms:Note">
          <xsd:maxLength value="255"/>
        </xsd:restriction>
      </xsd:simpleType>
    </xsd:element>
    <xsd:element name="TCT_Cc_Type" ma:index="54" nillable="true" ma:displayName="Cc-Type" ma:hidden="true" ma:internalName="TCT_Cc_Type">
      <xsd:simpleType>
        <xsd:restriction base="dms:Text"/>
      </xsd:simpleType>
    </xsd:element>
    <xsd:element name="TCT_Conversation" ma:index="55" nillable="true" ma:displayName="Conversation" ma:hidden="true" ma:internalName="TCT_Conversation">
      <xsd:simpleType>
        <xsd:restriction base="dms:Text"/>
      </xsd:simpleType>
    </xsd:element>
    <xsd:element name="TCT_Country" ma:index="56" nillable="true" ma:displayName="Country" ma:hidden="true" ma:internalName="TCT_Country" ma:readOnly="true">
      <xsd:simpleType>
        <xsd:restriction base="dms:Text"/>
      </xsd:simpleType>
    </xsd:element>
    <xsd:element name="TCT_Email_Categories" ma:index="57" nillable="true" ma:displayName="Email Categories" ma:hidden="true" ma:internalName="TCT_Email_Categories">
      <xsd:simpleType>
        <xsd:restriction base="dms:Text"/>
      </xsd:simpleType>
    </xsd:element>
    <xsd:element name="TCT_Email_Subject" ma:index="58" nillable="true" ma:displayName="Email Subject" ma:hidden="true" ma:internalName="TCT_Email_Subject">
      <xsd:simpleType>
        <xsd:restriction base="dms:Text"/>
      </xsd:simpleType>
    </xsd:element>
    <xsd:element name="TCT_From" ma:index="59" nillable="true" ma:displayName="From" ma:hidden="true" ma:internalName="TCT_From">
      <xsd:simpleType>
        <xsd:restriction base="dms:Text"/>
      </xsd:simpleType>
    </xsd:element>
    <xsd:element name="TCT_From_Address" ma:index="60" nillable="true" ma:displayName="From-Address" ma:hidden="true" ma:internalName="TCT_From_Address">
      <xsd:simpleType>
        <xsd:restriction base="dms:Note">
          <xsd:maxLength value="255"/>
        </xsd:restriction>
      </xsd:simpleType>
    </xsd:element>
    <xsd:element name="TCT_From_Type" ma:index="61" nillable="true" ma:displayName="From-Type" ma:hidden="true" ma:internalName="TCT_From_Typ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90880-4d55-4aa8-a09c-16896a90cf94" elementFormDefault="qualified">
    <xsd:import namespace="http://schemas.microsoft.com/office/2006/documentManagement/types"/>
    <xsd:import namespace="http://schemas.microsoft.com/office/infopath/2007/PartnerControls"/>
    <xsd:element name="TCT_Attachment" ma:index="44" nillable="true" ma:displayName="Attachment" ma:hidden="true" ma:internalName="TCT_Attach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CT_Attachment xmlns="b6a90880-4d55-4aa8-a09c-16896a90cf94" xsi:nil="true"/>
    <TCT_ConsultingReviewerRequired xmlns="72a8f721-f004-44da-91fe-bb3823bf7857">false</TCT_ConsultingReviewerRequired>
    <TCT_EditorialReviewerRequired xmlns="72a8f721-f004-44da-91fe-bb3823bf7857">false</TCT_EditorialReviewerRequired>
    <TCT_PreparedDate xmlns="72a8f721-f004-44da-91fe-bb3823bf7857">2019-08-04T23:00:00+00:00</TCT_PreparedDate>
    <TCT_PreparedByRequired xmlns="72a8f721-f004-44da-91fe-bb3823bf7857">false</TCT_PreparedByRequired>
    <TCT_Cc xmlns="72a8f721-f004-44da-91fe-bb3823bf7857" xsi:nil="true"/>
    <TCT_Email_Categories xmlns="72a8f721-f004-44da-91fe-bb3823bf7857" xsi:nil="true"/>
    <TCT_To_Type xmlns="72a8f721-f004-44da-91fe-bb3823bf7857" xsi:nil="true"/>
    <TCT_EditorialReviewer xmlns="72a8f721-f004-44da-91fe-bb3823bf7857">
      <UserInfo>
        <DisplayName>INT\patelb1</DisplayName>
        <AccountId>108</AccountId>
        <AccountType/>
      </UserInfo>
    </TCT_EditorialReviewer>
    <TCT_TechnicalReviewer xmlns="72a8f721-f004-44da-91fe-bb3823bf7857">
      <UserInfo>
        <DisplayName>INT\patelb1</DisplayName>
        <AccountId>108</AccountId>
        <AccountType/>
      </UserInfo>
    </TCT_TechnicalReviewer>
    <TCT_WorkDocumentReviewStatus xmlns="72a8f721-f004-44da-91fe-bb3823bf7857">No</TCT_WorkDocumentReviewStatus>
    <TCT_From_Type xmlns="72a8f721-f004-44da-91fe-bb3823bf7857" xsi:nil="true"/>
    <TCT_PersonalHealthInformation xmlns="72a8f721-f004-44da-91fe-bb3823bf7857">No</TCT_PersonalHealthInformation>
    <TCT_To_Address xmlns="72a8f721-f004-44da-91fe-bb3823bf7857" xsi:nil="true"/>
    <TCT_Sensitivity xmlns="72a8f721-f004-44da-91fe-bb3823bf7857" xsi:nil="true"/>
    <TCT_Sent xmlns="72a8f721-f004-44da-91fe-bb3823bf7857" xsi:nil="true"/>
    <TCT_EditorialReviewApprovalDate xmlns="72a8f721-f004-44da-91fe-bb3823bf7857">2019-08-04T23:00:00+00:00</TCT_EditorialReviewApprovalDate>
    <TCT_SeniorPeerReviewApprovalDate xmlns="72a8f721-f004-44da-91fe-bb3823bf7857" xsi:nil="true"/>
    <TCT_SeniorPeerReviewerRequired xmlns="72a8f721-f004-44da-91fe-bb3823bf7857">true</TCT_SeniorPeerReviewerRequired>
    <TCT_SeniorPeerReviewer xmlns="72a8f721-f004-44da-91fe-bb3823bf7857">
      <UserInfo>
        <DisplayName/>
        <AccountId xsi:nil="true"/>
        <AccountType/>
      </UserInfo>
    </TCT_SeniorPeerReviewer>
    <TCT_ConsultingReviewer xmlns="72a8f721-f004-44da-91fe-bb3823bf7857">
      <UserInfo>
        <DisplayName>Chris Smith (RFS/Inv/DC Cons, Leeds)</DisplayName>
        <AccountId>90</AccountId>
        <AccountType/>
      </UserInfo>
    </TCT_ConsultingReviewer>
    <TCT_Bcc xmlns="72a8f721-f004-44da-91fe-bb3823bf7857" xsi:nil="true"/>
    <TCT_Bcc_Type xmlns="72a8f721-f004-44da-91fe-bb3823bf7857" xsi:nil="true"/>
    <TCT_ProjectPhase xmlns="72a8f721-f004-44da-91fe-bb3823bf7857">Deliver - Deliverables</TCT_ProjectPhase>
    <TCT_TechnicalReviewApprovalDate xmlns="72a8f721-f004-44da-91fe-bb3823bf7857">2017-06-15T23:00:00+00:00</TCT_TechnicalReviewApprovalDate>
    <TCT_Conversation xmlns="72a8f721-f004-44da-91fe-bb3823bf7857" xsi:nil="true"/>
    <TCT_Email_Subject xmlns="72a8f721-f004-44da-91fe-bb3823bf7857" xsi:nil="true"/>
    <TCT_ConsultingReviewApprovalDate xmlns="72a8f721-f004-44da-91fe-bb3823bf7857">2017-06-16T23:00:00+00:00</TCT_ConsultingReviewApprovalDate>
    <TCT_WorkReviewComments xmlns="72a8f721-f004-44da-91fe-bb3823bf7857" xsi:nil="true"/>
    <TCT_Bcc_Address xmlns="72a8f721-f004-44da-91fe-bb3823bf7857" xsi:nil="true"/>
    <TCT_Sent_UTC xmlns="72a8f721-f004-44da-91fe-bb3823bf7857" xsi:nil="true"/>
    <TCT_From xmlns="72a8f721-f004-44da-91fe-bb3823bf7857" xsi:nil="true"/>
    <TCT_Received xmlns="72a8f721-f004-44da-91fe-bb3823bf7857" xsi:nil="true"/>
    <TCT_TechnicalReviewerRequired xmlns="72a8f721-f004-44da-91fe-bb3823bf7857">false</TCT_TechnicalReviewerRequired>
    <TCT_Cc_Type xmlns="72a8f721-f004-44da-91fe-bb3823bf7857" xsi:nil="true"/>
    <TCT_PersonallyIdentifiableInformation xmlns="72a8f721-f004-44da-91fe-bb3823bf7857">No</TCT_PersonallyIdentifiableInformation>
    <TCT_PreparedBy xmlns="72a8f721-f004-44da-91fe-bb3823bf7857">
      <UserInfo>
        <DisplayName>Mark Irish (RFS/Inv/DC Cons, London (51 Lime Street))</DisplayName>
        <AccountId>107</AccountId>
        <AccountType/>
      </UserInfo>
    </TCT_PreparedBy>
    <TCT_Received_UTC xmlns="72a8f721-f004-44da-91fe-bb3823bf7857" xsi:nil="true"/>
    <TCT_Cc_Address xmlns="72a8f721-f004-44da-91fe-bb3823bf7857" xsi:nil="true"/>
    <TCT_Importance xmlns="72a8f721-f004-44da-91fe-bb3823bf7857" xsi:nil="true"/>
    <TCT_To xmlns="72a8f721-f004-44da-91fe-bb3823bf7857" xsi:nil="true"/>
    <TCT_From_Address xmlns="72a8f721-f004-44da-91fe-bb3823bf7857" xsi:nil="true"/>
    <TCT_ClientName xmlns="72a8f721-f004-44da-91fe-bb3823bf7857">Dell Corporation Ltd TR</TCT_ClientName>
    <TCT_Country xmlns="72a8f721-f004-44da-91fe-bb3823bf7857">United Kingdom</TCT_Country>
    <TCT_Office xmlns="72a8f721-f004-44da-91fe-bb3823bf7857">London - 71 High Holborn</TCT_Office>
    <TCT_ProjectStatus xmlns="72a8f721-f004-44da-91fe-bb3823bf7857">Active</TCT_ProjectStatus>
    <TCT_LOB xmlns="72a8f721-f004-44da-91fe-bb3823bf7857">Investment</TCT_LOB>
    <TCT_Region xmlns="72a8f721-f004-44da-91fe-bb3823bf7857">Europe, Middle East, Africa</TCT_Region>
    <TCT_ProjectCode xmlns="72a8f721-f004-44da-91fe-bb3823bf7857">3201483</TCT_ProjectCode>
    <TCT_ProjectYear xmlns="72a8f721-f004-44da-91fe-bb3823bf7857">2016</TCT_ProjectYear>
    <TCT_ClientCode xmlns="72a8f721-f004-44da-91fe-bb3823bf7857">716522         </TCT_ClientCode>
    <TCT_ProjectType xmlns="72a8f721-f004-44da-91fe-bb3823bf7857">Reference</TCT_ProjectType>
    <TCT_ProjectName xmlns="72a8f721-f004-44da-91fe-bb3823bf7857">Inv_Dell DC Ref</TCT_ProjectName>
  </documentManagement>
</p:properties>
</file>

<file path=customXml/item5.xml><?xml version="1.0" encoding="utf-8"?>
<?mso-contentType ?>
<SharedContentType xmlns="Microsoft.SharePoint.Taxonomy.ContentTypeSync" SourceId="b921ac28-8646-473c-91fe-f89955a73f55" ContentTypeId="0x010100725E60EF2E824CBB9F9F6219DD094B0900B612D4D4DDC947DAA2F0B8B009DF7B4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90A38-D4EA-4978-9244-6964F505484A}">
  <ds:schemaRefs>
    <ds:schemaRef ds:uri="http://schemas.microsoft.com/sharepoint/v3/contenttype/forms"/>
  </ds:schemaRefs>
</ds:datastoreItem>
</file>

<file path=customXml/itemProps2.xml><?xml version="1.0" encoding="utf-8"?>
<ds:datastoreItem xmlns:ds="http://schemas.openxmlformats.org/officeDocument/2006/customXml" ds:itemID="{DD6C6D94-378D-4ABA-935F-EB49126A345C}">
  <ds:schemaRefs>
    <ds:schemaRef ds:uri="http://schemas.microsoft.com/office/2006/metadata/customXsn"/>
  </ds:schemaRefs>
</ds:datastoreItem>
</file>

<file path=customXml/itemProps3.xml><?xml version="1.0" encoding="utf-8"?>
<ds:datastoreItem xmlns:ds="http://schemas.openxmlformats.org/officeDocument/2006/customXml" ds:itemID="{65626639-7343-4D6F-A282-66D19737D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8f721-f004-44da-91fe-bb3823bf7857"/>
    <ds:schemaRef ds:uri="b6a90880-4d55-4aa8-a09c-16896a90c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8AD1DF-91F5-4580-B2EF-C1E6C0283065}">
  <ds:schemaRefs>
    <ds:schemaRef ds:uri="http://purl.org/dc/elements/1.1/"/>
    <ds:schemaRef ds:uri="http://purl.org/dc/dcmitype/"/>
    <ds:schemaRef ds:uri="http://schemas.openxmlformats.org/package/2006/metadata/core-properties"/>
    <ds:schemaRef ds:uri="http://purl.org/dc/terms/"/>
    <ds:schemaRef ds:uri="b6a90880-4d55-4aa8-a09c-16896a90cf94"/>
    <ds:schemaRef ds:uri="http://schemas.microsoft.com/office/infopath/2007/PartnerControls"/>
    <ds:schemaRef ds:uri="http://schemas.microsoft.com/office/2006/documentManagement/types"/>
    <ds:schemaRef ds:uri="72a8f721-f004-44da-91fe-bb3823bf7857"/>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5C3D25F2-5880-46AE-B2B7-8B4885D5468F}">
  <ds:schemaRefs>
    <ds:schemaRef ds:uri="Microsoft.SharePoint.Taxonomy.ContentTypeSync"/>
  </ds:schemaRefs>
</ds:datastoreItem>
</file>

<file path=customXml/itemProps6.xml><?xml version="1.0" encoding="utf-8"?>
<ds:datastoreItem xmlns:ds="http://schemas.openxmlformats.org/officeDocument/2006/customXml" ds:itemID="{E9B2A734-993F-422B-99D5-315D328D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Template>
  <TotalTime>0</TotalTime>
  <Pages>15</Pages>
  <Words>4174</Words>
  <Characters>21602</Characters>
  <Application>Microsoft Office Word</Application>
  <DocSecurity>0</DocSecurity>
  <Lines>939</Lines>
  <Paragraphs>628</Paragraphs>
  <ScaleCrop>false</ScaleCrop>
  <HeadingPairs>
    <vt:vector size="2" baseType="variant">
      <vt:variant>
        <vt:lpstr>Title</vt:lpstr>
      </vt:variant>
      <vt:variant>
        <vt:i4>1</vt:i4>
      </vt:variant>
    </vt:vector>
  </HeadingPairs>
  <TitlesOfParts>
    <vt:vector size="1" baseType="lpstr">
      <vt:lpstr>SIP - April 2017</vt:lpstr>
    </vt:vector>
  </TitlesOfParts>
  <Company>Watson Wyatt Worldwide</Company>
  <LinksUpToDate>false</LinksUpToDate>
  <CharactersWithSpaces>25148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SIP - April 2017</dc:title>
  <dc:creator>rga</dc:creator>
  <cp:keywords>Archive:36;</cp:keywords>
  <dc:description>sip</dc:description>
  <cp:lastModifiedBy>Irish, Mark (London)</cp:lastModifiedBy>
  <cp:revision>2</cp:revision>
  <cp:lastPrinted>2017-09-18T08:42:00Z</cp:lastPrinted>
  <dcterms:created xsi:type="dcterms:W3CDTF">2019-08-05T10:37:00Z</dcterms:created>
  <dcterms:modified xsi:type="dcterms:W3CDTF">2019-08-05T10:37:00Z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0x010100725E60EF2E824CBB9F9F6219DD094B0900B612D4D4DDC947DAA2F0B8B009DF7B4000CD8C5AE2EFE41647A6B2AFA0E1B4468E</vt:lpwstr>
  </property>
  <property fmtid="{D5CDD505-2E9C-101B-9397-08002B2CF9AE}" pid="3" name="Topic">
    <vt:lpwstr>6;#Investment|9d283320-61cf-497a-815a-3ca575eab6bf</vt:lpwstr>
  </property>
  <property fmtid="{D5CDD505-2E9C-101B-9397-08002B2CF9AE}" pid="4" name="Tag">
    <vt:lpwstr>104;#Legal ＆ Documentation|afa40c86-a725-4e6f-924a-6e0a0bc53878</vt:lpwstr>
  </property>
  <property fmtid="{D5CDD505-2E9C-101B-9397-08002B2CF9AE}" pid="5" name="Other">
    <vt:lpwstr>145;#SIP|9a03e6d4-7b06-4e1d-a3e0-18daf25554c7</vt:lpwstr>
  </property>
  <property fmtid="{D5CDD505-2E9C-101B-9397-08002B2CF9AE}" pid="6" name="MSIP_Label_9c700311-1b20-487f-9129-30717d50ca8e_Enabled">
    <vt:lpwstr>True</vt:lpwstr>
  </property>
  <property fmtid="{D5CDD505-2E9C-101B-9397-08002B2CF9AE}" pid="7" name="MSIP_Label_9c700311-1b20-487f-9129-30717d50ca8e_SiteId">
    <vt:lpwstr>76e3921f-489b-4b7e-9547-9ea297add9b5</vt:lpwstr>
  </property>
  <property fmtid="{D5CDD505-2E9C-101B-9397-08002B2CF9AE}" pid="8" name="MSIP_Label_9c700311-1b20-487f-9129-30717d50ca8e_Owner">
    <vt:lpwstr>mark.irish@towerswatson.com</vt:lpwstr>
  </property>
  <property fmtid="{D5CDD505-2E9C-101B-9397-08002B2CF9AE}" pid="9" name="MSIP_Label_9c700311-1b20-487f-9129-30717d50ca8e_SetDate">
    <vt:lpwstr>2019-08-05T10:23:59.4460697Z</vt:lpwstr>
  </property>
  <property fmtid="{D5CDD505-2E9C-101B-9397-08002B2CF9AE}" pid="10" name="MSIP_Label_9c700311-1b20-487f-9129-30717d50ca8e_Name">
    <vt:lpwstr>Confidential</vt:lpwstr>
  </property>
  <property fmtid="{D5CDD505-2E9C-101B-9397-08002B2CF9AE}" pid="11" name="MSIP_Label_9c700311-1b20-487f-9129-30717d50ca8e_Application">
    <vt:lpwstr>Microsoft Azure Information Protection</vt:lpwstr>
  </property>
  <property fmtid="{D5CDD505-2E9C-101B-9397-08002B2CF9AE}" pid="12" name="MSIP_Label_9c700311-1b20-487f-9129-30717d50ca8e_ActionId">
    <vt:lpwstr>4566fa34-2100-4404-8b17-a53e9da96695</vt:lpwstr>
  </property>
  <property fmtid="{D5CDD505-2E9C-101B-9397-08002B2CF9AE}" pid="13" name="MSIP_Label_9c700311-1b20-487f-9129-30717d50ca8e_Extended_MSFT_Method">
    <vt:lpwstr>Automatic</vt:lpwstr>
  </property>
  <property fmtid="{D5CDD505-2E9C-101B-9397-08002B2CF9AE}" pid="14" name="MSIP_Label_d347b247-e90e-43a3-9d7b-004f14ae6873_Enabled">
    <vt:lpwstr>True</vt:lpwstr>
  </property>
  <property fmtid="{D5CDD505-2E9C-101B-9397-08002B2CF9AE}" pid="15" name="MSIP_Label_d347b247-e90e-43a3-9d7b-004f14ae6873_SiteId">
    <vt:lpwstr>76e3921f-489b-4b7e-9547-9ea297add9b5</vt:lpwstr>
  </property>
  <property fmtid="{D5CDD505-2E9C-101B-9397-08002B2CF9AE}" pid="16" name="MSIP_Label_d347b247-e90e-43a3-9d7b-004f14ae6873_Owner">
    <vt:lpwstr>mark.irish@towerswatson.com</vt:lpwstr>
  </property>
  <property fmtid="{D5CDD505-2E9C-101B-9397-08002B2CF9AE}" pid="17" name="MSIP_Label_d347b247-e90e-43a3-9d7b-004f14ae6873_SetDate">
    <vt:lpwstr>2019-08-05T10:23:59.4460697Z</vt:lpwstr>
  </property>
  <property fmtid="{D5CDD505-2E9C-101B-9397-08002B2CF9AE}" pid="18" name="MSIP_Label_d347b247-e90e-43a3-9d7b-004f14ae6873_Name">
    <vt:lpwstr>Anyone (No Protection)</vt:lpwstr>
  </property>
  <property fmtid="{D5CDD505-2E9C-101B-9397-08002B2CF9AE}" pid="19" name="MSIP_Label_d347b247-e90e-43a3-9d7b-004f14ae6873_Application">
    <vt:lpwstr>Microsoft Azure Information Protection</vt:lpwstr>
  </property>
  <property fmtid="{D5CDD505-2E9C-101B-9397-08002B2CF9AE}" pid="20" name="MSIP_Label_d347b247-e90e-43a3-9d7b-004f14ae6873_ActionId">
    <vt:lpwstr>4566fa34-2100-4404-8b17-a53e9da96695</vt:lpwstr>
  </property>
  <property fmtid="{D5CDD505-2E9C-101B-9397-08002B2CF9AE}" pid="21" name="MSIP_Label_d347b247-e90e-43a3-9d7b-004f14ae6873_Parent">
    <vt:lpwstr>9c700311-1b20-487f-9129-30717d50ca8e</vt:lpwstr>
  </property>
  <property fmtid="{D5CDD505-2E9C-101B-9397-08002B2CF9AE}" pid="22" name="MSIP_Label_d347b247-e90e-43a3-9d7b-004f14ae6873_Extended_MSFT_Method">
    <vt:lpwstr>Automatic</vt:lpwstr>
  </property>
  <property fmtid="{D5CDD505-2E9C-101B-9397-08002B2CF9AE}" pid="23" name="Sensitivity">
    <vt:lpwstr>Confidential Anyone (No Protection)</vt:lpwstr>
  </property>
</Properties>
</file>